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12285-2022 i Östersunds kommun</w:t>
      </w:r>
    </w:p>
    <w:p>
      <w:r>
        <w:t>Detta klagomål behandlar höga naturvärden i avverkningsanmälan A 12285-2022 i Östersunds kommun som inkom 2022-03-17 och omfattar 1,4 ha.</w:t>
      </w:r>
    </w:p>
    <w:p>
      <w:pPr>
        <w:pStyle w:val="Caption"/>
      </w:pPr>
      <w:r>
        <w:drawing>
          <wp:inline xmlns:a="http://schemas.openxmlformats.org/drawingml/2006/main" xmlns:pic="http://schemas.openxmlformats.org/drawingml/2006/picture">
            <wp:extent cx="5486400" cy="4055411"/>
            <wp:docPr id="1" name="Picture 1"/>
            <wp:cNvGraphicFramePr>
              <a:graphicFrameLocks noChangeAspect="1"/>
            </wp:cNvGraphicFramePr>
            <a:graphic>
              <a:graphicData uri="http://schemas.openxmlformats.org/drawingml/2006/picture">
                <pic:pic>
                  <pic:nvPicPr>
                    <pic:cNvPr id="0" name="A 12285-2022 karta.png"/>
                    <pic:cNvPicPr/>
                  </pic:nvPicPr>
                  <pic:blipFill>
                    <a:blip r:embed="rId16"/>
                    <a:stretch>
                      <a:fillRect/>
                    </a:stretch>
                  </pic:blipFill>
                  <pic:spPr>
                    <a:xfrm>
                      <a:off x="0" y="0"/>
                      <a:ext cx="5486400" cy="405541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7019382, E 496101 i SWEREF 99 TM.</w:t>
      </w:r>
    </w:p>
    <w:p>
      <w:r>
        <w:t>Inom 25 meter från avverkningsanmälan finns fynd av 9 naturvårdsarter, varav 7 är fridlysta, 2 är typiska (T) och 5 är signalarter (S): finbräken (S, T), flugblomster (S, §8), gräsull (S), grönkulla (S, T, §8), tvåblad (S, §8), brudsporre (§8), dubbelnycklar (§8), fläcknycklar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