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37096-2023 i Östersunds kommun</w:t>
      </w:r>
    </w:p>
    <w:p>
      <w:r>
        <w:t>Denna tillsynsbegäran behandlar höga naturvärden i avverkningsanmälan A 37096-2023 i Östersunds kommun som inkom 2023-08-17 och omfattar 70,6 ha.</w:t>
      </w:r>
    </w:p>
    <w:p>
      <w:pPr>
        <w:pStyle w:val="Caption"/>
      </w:pPr>
      <w:r>
        <w:drawing>
          <wp:inline xmlns:a="http://schemas.openxmlformats.org/drawingml/2006/main" xmlns:pic="http://schemas.openxmlformats.org/drawingml/2006/picture">
            <wp:extent cx="5486400" cy="4004370"/>
            <wp:docPr id="1" name="Picture 1"/>
            <wp:cNvGraphicFramePr>
              <a:graphicFrameLocks noChangeAspect="1"/>
            </wp:cNvGraphicFramePr>
            <a:graphic>
              <a:graphicData uri="http://schemas.openxmlformats.org/drawingml/2006/picture">
                <pic:pic>
                  <pic:nvPicPr>
                    <pic:cNvPr id="0" name="A 37096-2023 karta.png"/>
                    <pic:cNvPicPr/>
                  </pic:nvPicPr>
                  <pic:blipFill>
                    <a:blip r:embed="rId16"/>
                    <a:stretch>
                      <a:fillRect/>
                    </a:stretch>
                  </pic:blipFill>
                  <pic:spPr>
                    <a:xfrm>
                      <a:off x="0" y="0"/>
                      <a:ext cx="5486400" cy="400437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7034258, E 477742 i SWEREF 99 TM.</w:t>
      </w:r>
    </w:p>
    <w:p>
      <w:r>
        <w:t>I och inom 16 meter från avverkningsanmälan finns fynd av 49 naturvårdsarter, varav 34 är rödlistade, 13 är fridlysta, 19 är typiska (T) och 8 är signalarter (S): doftmusseron (EN), fjällfotad musseron (VU), garnlav (VU, T), grantickeporing (VU), knärot (VU, T, §8), läderdoftande fingersvamp (VU), skäggvaxskivling (VU), smalskaftslav (VU), sprickporing (VU), ulltickeporing (VU), vitskaftad svartspik (VU, T), barrfagerspindling (NT), barrviolspindling (NT), blanksvart spiklav (NT), blågrå svartspik (NT), doftskinn (NT, T), dropptaggsvamp (NT, T), flattoppad klubbsvamp (NT), gultoppig fingersvamp (NT), harticka (NT, T), knottrig blåslav (NT, T), luddfingersvamp (NT), lunglav (NT, T), nordlig nållav (NT), rosenticka (NT, T), rödbrun klubbdyna (NT), rödfläckig zontaggsvamp (NT), skogsfru (NT, §8), skrovellav (NT, T), tallfingersvamp (NT), tretåig hackspett (NT, T, §4), ullticka (NT, T), vedflamlav (NT), äggvaxskivling (NT), finbräken (S, T), guckusko (S, T, §7), skinnlav (S, T), skogsknipprot (S, T, §8), strimspindling (S), svavelriska (S), trådticka (S, T), tvåblad (S, §8), spillkråka (T, §4), tjäder (T, §4), skogsrör (§7), brudsporre (§8), fläcknycklar (§8), ängsnycklar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Doftmusseron (EN)</w:t>
      </w:r>
      <w:r>
        <w:t xml:space="preserve"> är en starkt hotad art som bildar mykorrhiza med gran i äldre barrskog på moss- och kalkrik mark, gärna med gran på kalktallhed. Svampen avger en parfymliknande, sötaktig-fruktartad doft. Arten hotas av alla former av skogsbruksåtgärder, såsom slutavverkning, röjning, gallring, skogsmarksgödsling och körning med traktorer och skogsmaskiner. Arten är troligen uttorkningskänslig och kräver växtplatser med ett kontinuerligt fuktigt mikroklimat. Även slutavverkning eller kraftig gallring i intilliggande skog kan därför vara ett hot om det medför ökad genomblåsning och uttorkning. Skogsområden med arten bör skyddas och undantas från alla skogsbruksåtgärder (SLU Artdatabanken, 2026).</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6953582"/>
            <wp:docPr id="2" name="Picture 2"/>
            <wp:cNvGraphicFramePr>
              <a:graphicFrameLocks noChangeAspect="1"/>
            </wp:cNvGraphicFramePr>
            <a:graphic>
              <a:graphicData uri="http://schemas.openxmlformats.org/drawingml/2006/picture">
                <pic:pic>
                  <pic:nvPicPr>
                    <pic:cNvPr id="0" name="A 37096-2023 karta knärot.png"/>
                    <pic:cNvPicPr/>
                  </pic:nvPicPr>
                  <pic:blipFill>
                    <a:blip r:embed="rId17"/>
                    <a:stretch>
                      <a:fillRect/>
                    </a:stretch>
                  </pic:blipFill>
                  <pic:spPr>
                    <a:xfrm>
                      <a:off x="0" y="0"/>
                      <a:ext cx="5486400" cy="6953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7034258, E 477742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Skäggvaxskivling (VU) </w:t>
      </w:r>
      <w:r>
        <w:t>bildar mykorrhiza med gran i äldre ängs- och blåbärsgranskog på kalkrik mark. De gamla, orörda skogarnas tillbakagång innebär att arten missgynnas och många växtplatser riskerar att utplånas av skogsbruksåtgärder. På lokaler med känd förekomst bör avverkning helt undvikas eller bedrivas i form av plockhuggning eller blädning. Arten bör eftersökas i äldre barrskog i Norrland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vitskaftad svartspik (VU, T), doftskinn (NT, T), dropptaggsvamp (NT, T), harticka (NT, T), knottrig blåslav (NT, T), lunglav (NT, T), rosenticka (NT, T), skrovellav (NT, T), tretåig hackspett (NT, T, §4), ullticka (NT, T), finbräken (S, T), guckusko (S, T, §7), skinnlav (S, T), skogsknipprot (S, T, §8), trådticka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