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4951498"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495149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14 meter från avverkningsanmälan finns fynd av 19 naturvårdsarter, varav 14 är rödlistade, 3 är fridlysta, 8 är typiska (T) och 3 är signalarter (S): borgsjömusseron (VU), garnlav (VU, T), kopparspindling (VU), läderdoftande fingersvamp (VU), stor odörspindling (VU), taggfingersvamp (VU), dropptaggsvamp (NT, T), fjällig taggsvamp s.str. (NT), gultoppig fingersvamp (NT), kryddspindling (NT, T), lunglav (NT, T), orange taggsvamp (NT, T), talltita (NT, §4), äggvaxskivling (NT),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