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4951498"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495149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19 naturvårdsarter, varav 14 är rödlistade, 3 är fridlysta, 8 är typiska (T) och 3 är signalarter (S): borgsjömusseron (VU), garnlav (VU, T), kopparspindling (VU), läderdoftande fingersvamp (VU), stor odörspindling (VU), taggfingersvamp (VU), dropptaggsvamp (NT, T), fjällig taggsvamp s.str. (NT), gultoppig fingersvamp (NT), kryddspindling (NT, T), lunglav (NT, T), orange taggsvamp (NT, T), talltita (NT, §4), äggvaxskivling (NT),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kryddspindling (NT, T), lunglav (NT, T), orange 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