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19 naturvårdsarter, varav 3 är rödlistade, 5 är fridlysta, 16 är typiska (T) och 8 är signalarter (S): garnlav (VU, T), lunglav (NT, T), rödvingetrast (NT, §4), finbräken (S, T), kransrams (S, T), luddlav (S, T), spindelblomster (S, T, §8), stuplav (S, T), svart trolldruva (S, T), tvåblad (S, §8), ögonpyrola (S, T), blåsippa (T, §9), brudborste (T), ekbräken (T), kransmossa (T), kärrfibbla (T), nordisk stormhatt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finbräken (S, T), kransrams (S, T), luddlav (S, T), spindelblomster (S, T, §8), stuplav (S, T), svart trolldruva (S, T), ögonpyrola (S, T), blåsippa (T, §9), brudborste (T), ekbräken (T), kransmossa (T), kärrfibbla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