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7024733, E 492009 i SWEREF 99 TM.</w:t>
      </w:r>
    </w:p>
    <w:p>
      <w:r>
        <w:t>I och inom 24 meter från avverkningsanmälan finns fynd av 22 naturvårdsarter, varav 4 är rödlistade, 6 är fridlysta, 19 är typiska (T) och 8 är signalarter (S): garnlav (VU, T), lunglav (NT, T), rödvingetrast (NT, §4), tretåig hackspett (NT, T, §4), finbräken (S, T), kransrams (S, T), luddlav (S, T), spindelblomster (S, T, §8), stuplav (S, T), svart trolldruva (S, T), tvåblad (S, §8), ögonpyrola (S, T), blåsippa (T, §9), brudborste (T), ekbräken (T), kransmossa (T), kärrfibbla (T), liljekonvalj (T), linnea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finbräken (S, T), kransrams (S, T), luddlav (S, T), spindelblomster (S, T, §8), stuplav (S, T), svart trolldruva (S, T), ögonpyrola (S, T), blåsippa (T, §9), brudborste (T), ekbräken (T), kransmossa (T), kärrfibbla (T), liljekonvalj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