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klagomål behandlar höga naturvärden i avverkningsanmälan A 3410-2022 i Östersunds kommun som inkom 2022-01-24 och omfattar 10,2 ha.</w:t>
      </w:r>
    </w:p>
    <w:p>
      <w:pPr>
        <w:pStyle w:val="Caption"/>
      </w:pPr>
      <w:r>
        <w:drawing>
          <wp:inline xmlns:a="http://schemas.openxmlformats.org/drawingml/2006/main" xmlns:pic="http://schemas.openxmlformats.org/drawingml/2006/picture">
            <wp:extent cx="5486400" cy="4450913"/>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4450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6985084, E 482841 i SWEREF 99 TM.</w:t>
      </w:r>
    </w:p>
    <w:p>
      <w:r>
        <w:t>I och inom 24 meter från avverkningsanmälan finns fynd av 44 naturvårdsarter, varav 29 är rödlistade, 3 är fridlysta, 15 är typiska (T) och 14 är signalarter (S): blyspindling (EN), brandtaggsvamp (EN), sammetstaggsvamp (EN), siljansspindling (EN), fjällfotad musseron (VU), gul lammticka (VU), gul taggsvamp (VU, T), gyllenspindling (VU), kopparspindling (VU), läderdoftande fingersvamp (VU), rotfingersvamp (VU), stor odörspindling (VU), taggfingersvamp (VU), tvillingspindling (VU), barrviolspindling (NT), blå slemspindling (NT, T), blå taggsvamp (NT, T), dofttaggsvamp (NT, T), fjällig taggsvamp s.str. (NT), flattoppad klubbsvamp (NT), grantaggsvamp (NT), gultoppig fingersvamp (NT), kryddspindling (NT, T), lunglav (NT, T), orange taggsvamp (NT, T), persiljespindling (NT), rödbrun klubbdyna (NT), vårärt (NT, T), äggvaxskivling (NT), brun klibbskivling (S), diskvaxskivling (S), droppklibbskivling (S), grönkulla (S, T, §8), guldkremla (S), kransrams (S, T), strimspindling (S), svart trolldruva (S, T), svavelriska (S), tibast (S, T), trådticka (S, T), tvåblad (S, §8), underviol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Siljansspindling (EN)</w:t>
      </w:r>
      <w:r>
        <w:t xml:space="preserve"> är en starkt hotad art som bildar mykorrhiza med gran, möjligen också tall, i kalkbarrskog. Den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2026; Nitare &amp; Skogsstyrelsen, 2019; IUCN,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