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45224-2024 i Östersunds kommun</w:t>
      </w:r>
    </w:p>
    <w:p>
      <w:r>
        <w:t>Denna tillsynsbegäran behandlar höga naturvärden i avverkningsanmälan A 45224-2024 i Östersunds kommun som inkom 2024-10-10 och omfattar 31,6 ha.</w:t>
      </w:r>
    </w:p>
    <w:p>
      <w:pPr>
        <w:pStyle w:val="Caption"/>
      </w:pPr>
      <w:r>
        <w:drawing>
          <wp:inline xmlns:a="http://schemas.openxmlformats.org/drawingml/2006/main" xmlns:pic="http://schemas.openxmlformats.org/drawingml/2006/picture">
            <wp:extent cx="5486400" cy="4490929"/>
            <wp:docPr id="1" name="Picture 1"/>
            <wp:cNvGraphicFramePr>
              <a:graphicFrameLocks noChangeAspect="1"/>
            </wp:cNvGraphicFramePr>
            <a:graphic>
              <a:graphicData uri="http://schemas.openxmlformats.org/drawingml/2006/picture">
                <pic:pic>
                  <pic:nvPicPr>
                    <pic:cNvPr id="0" name="A 45224-2024 karta.png"/>
                    <pic:cNvPicPr/>
                  </pic:nvPicPr>
                  <pic:blipFill>
                    <a:blip r:embed="rId16"/>
                    <a:stretch>
                      <a:fillRect/>
                    </a:stretch>
                  </pic:blipFill>
                  <pic:spPr>
                    <a:xfrm>
                      <a:off x="0" y="0"/>
                      <a:ext cx="5486400" cy="4490929"/>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7026161, E 500670 i SWEREF 99 TM.</w:t>
      </w:r>
    </w:p>
    <w:p>
      <w:r>
        <w:t>I och inom 6 meter från avverkningsanmälan finns fynd av 10 naturvårdsarter, varav 3 är rödlistade, 5 är fridlysta, 5 är typiska (T) och 5 är signalarter (S): garnlav (VU, T), talltita (NT, §4), tretåig hackspett (NT, T, §4), gräsull (S), guckusko (S, T, §7), rödgul trumpetsvamp (S), strimspindling (S), vitvaxing agg. (S), blåsippa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tretåig hackspett (NT, T, §4), guckusko (S, T, §7), blåsippa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