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30201-2023 i Östersunds kommun</w:t>
      </w:r>
    </w:p>
    <w:p>
      <w:r>
        <w:t>Detta dokument behandlar höga naturvärden i avverkningsanmälan A 30201-2023 i Östersunds kommun. Denna avverkningsanmälan inkom 2023-06-22 och omfattar 6,5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trolldruvemätare (EN), granticka (NT), guckusko (S, §7), kransrams (S), svart trolldruva (S), tibast (S), tvåblad (S, §8), underviol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30201-2023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6988975, E 496270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 xml:space="preserve">BILAGA 1 - </w:t>
        <w:br/>
        <w:t>Fridlysta och rödlistade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 xml:space="preserve">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(Actaea erythrocarpa)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br/>
      </w:r>
      <w:r>
        <w:rPr>
          <w:i/>
        </w:rPr>
        <w:t>Författare till Åtgärdsprogrammet för trolldruvemätare</w:t>
        <w:br/>
        <w:t>Expert i Artdatabankens rödlistekommitte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