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9 meter från avverkningsanmälan finns fynd av 26 naturvårdsarter, varav 14 är rödlistade, 4 är fridlysta, 21 är typiska (T) och 7 är signalarter (S): garnlav (VU, T), knärot (VU, T, §8), blanksvart spiklav (NT), dropptaggsvamp (NT, T), dvärgbägarlav (NT, T), kolflarnlav (NT, T), lunglav (NT, T), mörk kolflarnlav (NT), talltagel (NT, T), tretåig hackspett (NT, T, §4), vedskivlav (NT, T), violettgrå tagellav (NT, T), vitgrynig nållav (NT), vårtig dynlav (NT), grönpyrola (S, T), gytterlav (S, T), norrlandslav (S, T), nästlav (S, T), skinnlav (S, T), spindelblomster (S, T, §8), ögonpyrola (S, T), blåbär (T), klotstarr (T), linnea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vedskivlav (NT, T), violettgrå tagellav (NT, T), grönpyrola (S, T), gytterlav (S, T), norrlandslav (S, T), nästlav (S, T), skinnlav (S, T), spindelblomster (S, T, §8), ögonpyrola (S, T), blåbär (T), klotstarr (T), linnea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