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Arten är placerad högst upp i Skogsstyrelsens värdepyramid för bedömning av skog med höga naturvärden. Områden med arten bör skyddas och undantas från rationellt skogsbruk och slutavverkning, kraftig gallring och skogsgödsling måste helt undvikas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Sverige hyser sannolikt en stor andel av svampens hela europeiska population, vilket medför ett särskilt stort nationellt ansvar för artens bevarande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