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902-2024 i Östersunds kommun</w:t>
      </w:r>
    </w:p>
    <w:p>
      <w:r>
        <w:t>Detta klagomål behandlar höga naturvärden i samrådsanmälan S 902-2024 i Östersunds kommun som inkom 2024-03-25 och omfattar 212,1 ha.</w:t>
      </w:r>
    </w:p>
    <w:p>
      <w:pPr>
        <w:pStyle w:val="Caption"/>
      </w:pPr>
      <w:r>
        <w:drawing>
          <wp:inline xmlns:a="http://schemas.openxmlformats.org/drawingml/2006/main" xmlns:pic="http://schemas.openxmlformats.org/drawingml/2006/picture">
            <wp:extent cx="4362829" cy="5724000"/>
            <wp:docPr id="1" name="Picture 1"/>
            <wp:cNvGraphicFramePr>
              <a:graphicFrameLocks noChangeAspect="1"/>
            </wp:cNvGraphicFramePr>
            <a:graphic>
              <a:graphicData uri="http://schemas.openxmlformats.org/drawingml/2006/picture">
                <pic:pic>
                  <pic:nvPicPr>
                    <pic:cNvPr id="0" name="S 902-2024 karta.png"/>
                    <pic:cNvPicPr/>
                  </pic:nvPicPr>
                  <pic:blipFill>
                    <a:blip r:embed="rId16"/>
                    <a:stretch>
                      <a:fillRect/>
                    </a:stretch>
                  </pic:blipFill>
                  <pic:spPr>
                    <a:xfrm>
                      <a:off x="0" y="0"/>
                      <a:ext cx="4362829" cy="5724000"/>
                    </a:xfrm>
                    <a:prstGeom prst="rect"/>
                  </pic:spPr>
                </pic:pic>
              </a:graphicData>
            </a:graphic>
          </wp:inline>
        </w:drawing>
      </w:r>
    </w:p>
    <w:p>
      <w:pPr>
        <w:pStyle w:val="Caption"/>
        <w:spacing w:after="240"/>
      </w:pPr>
      <w:r>
        <w:t>Figur 1. Fyndplatser för naturvårdsarter i och inom 25 meter från samrådsanmälan. Markörer utan svart kant är placerade på fyndplatsen. Markörer med svart kant är placerade vid sidan av fyndplatsen och har ett svart streck som visar fyndplatsens exakta position. Kartans mittpunktskoordinat är N 7007566, E 490588 i SWEREF 99 TM.</w:t>
      </w:r>
    </w:p>
    <w:p>
      <w:r>
        <w:t>I och inom 25 meter från samrådsanmälan finns fynd av 16 naturvårdsarter, varav 10 är rödlistade, 6 är fridlysta, 6 är typiska (T) och 4 är signalarter (S): bredgentiana (VU, §8), fältgentiana (VU), garnlav (VU, T), grålila vaxing (VU), knärot (VU, T, §8), violett guldvinge (VU, §4a), flattoppad klubbsvamp (NT), slåtterfibbla (NT, T), ullticka (NT, T), äggvaxskivling (NT), gulvaxing (S), plattlummer (S, T, §9), slemvaxing (S), stuplav (S, T), kungsfågel (§4) och brudsporre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4 fyndplatser för knärot registrerade på Artportalen. Figur 2 visar gränserna för buffertzoner på 50 m, som behöver lämnas kring fyndplatserna för att knärotslokalerna inte ska försvinna vid en avverkning. Av det samrådsanmälda området överlappar 0.47 ha med buffertzonerna och får av detta skäl inte avverkas.</w:t>
      </w:r>
    </w:p>
    <w:p>
      <w:pPr>
        <w:pStyle w:val="Caption"/>
      </w:pPr>
      <w:r>
        <w:drawing>
          <wp:inline xmlns:a="http://schemas.openxmlformats.org/drawingml/2006/main" xmlns:pic="http://schemas.openxmlformats.org/drawingml/2006/picture">
            <wp:extent cx="5486400" cy="10972800"/>
            <wp:docPr id="2" name="Picture 2"/>
            <wp:cNvGraphicFramePr>
              <a:graphicFrameLocks noChangeAspect="1"/>
            </wp:cNvGraphicFramePr>
            <a:graphic>
              <a:graphicData uri="http://schemas.openxmlformats.org/drawingml/2006/picture">
                <pic:pic>
                  <pic:nvPicPr>
                    <pic:cNvPr id="0" name="S 902-2024 karta knärot.png"/>
                    <pic:cNvPicPr/>
                  </pic:nvPicPr>
                  <pic:blipFill>
                    <a:blip r:embed="rId17"/>
                    <a:stretch>
                      <a:fillRect/>
                    </a:stretch>
                  </pic:blipFill>
                  <pic:spPr>
                    <a:xfrm>
                      <a:off x="0" y="0"/>
                      <a:ext cx="5486400" cy="10972800"/>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7007566, E 490588 i SWEREF 99 TM.</w:t>
      </w:r>
    </w:p>
    <w:p>
      <w:r>
        <w:rPr>
          <w:b/>
        </w:rPr>
        <w:t xml:space="preserve">Flattoppad klubbsvamp (NT) </w:t>
      </w:r>
      <w:r>
        <w:t>bildar mykorrhiza med gran och växer i äldre barrskog på näringsrik, kalkpåverkad mark. Växtmiljön utgörs vanligen av örtrika granskogar med höga naturvärden, gärna påverkade av ytligt och rörligt markvatten. Svampen kräver välutvecklade gamla mossmattor med konstant fuktigt mikroklimat och hotas främst av slutavverkning av äldre ängsgranskogar på näringsrik mark. Artens lokaler bör undantas från skogsbruk (SLU Artdatabanken, 2024).</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16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