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4967-2025 i Östersunds kommun</w:t>
      </w:r>
    </w:p>
    <w:p>
      <w:r>
        <w:t>Denna tillsynsbegäran behandlar höga naturvärden i avverkningsanmälan A 4967-2025 i Östersunds kommun som inkom 2025-02-02 och omfattar 26,9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4967-2025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6991660, E 483675 i SWEREF 99 TM.</w:t>
      </w:r>
    </w:p>
    <w:p>
      <w:r>
        <w:t>I och inom 24 meter från avverkningsanmälan finns fynd av 39 naturvårdsarter, varav 28 är rödlistade, 3 är fridlysta, 14 är typiska (T) och 9 är signalarter (S): bitter taggsvamp (EN), blyspindling (EN), fjällfotad fingersvamp (EN), fjällfotad musseron (VU), garnlav (VU, T), kejsarskivling (VU), läderdoftande fingersvamp (VU), Ramaria aff. rubrievanescens (VU), skäggvaxskivling (VU), taggfingersvamp (VU), blek fingersvamp (NT), blå taggsvamp (NT, T), dofttaggsvamp (NT, T), fjällig taggsvamp s.str. (NT), flattoppad klubbsvamp (NT), grantaggsvamp (NT), gultoppig fingersvamp (NT), liten svartspik (NT), luddfingersvamp (NT), lunglav (NT, T), orange taggsvamp (NT, T), puderspindling (NT), slåtterfibbla (NT, T), småflikig brosklav (NT, T), talltita (NT, §4), ullticka (NT, T), vitgrynig nållav (NT), äggvaxskivling (NT), brun klibbskivling (S), finbräken (S, T), granriska (S), skinnlav (S, T), strimspindling (S), stuplav (S, T), svart trolldruva (S, T), svavelriska (S), tibast (S, T),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Blyspindling (EN) </w:t>
      </w:r>
      <w:r>
        <w:t>är en mycket sällsynt och starkt hotad art som bildar mykorrhiza med gran i kalkbarrskog. Huvudsakligen knuten till äldre skog på frisk till fuktig mark. Den totala populationen i landet bedöms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överstiger gränsvärdet för Starkt hotad (EN). Arten är placerad i toppen på Skogsstyrelsens värdepyramid för bedömning av skog med höga naturvärden (SLU Artdatabanken, 2026; Nitare &amp; Skogsstyrelsen, 2019).</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 xml:space="preserve">Ramaria aff. rubrievanescens </w:t>
      </w:r>
      <w:r>
        <w:rPr>
          <w:b/>
        </w:rPr>
        <w:t>(VU)</w:t>
      </w:r>
      <w:r>
        <w:t xml:space="preserve"> bildar mykorrhiza med gran, i örtrik kalkgranskog eller annan bördig och näringsrik äldre granskog. Hör till gruppen "druvfingersvampar", funnen från Uppland och norrut till Norrbotten och har en större utbredning jämfört med den mer sällsynta systerarten </w:t>
      </w:r>
      <w:r>
        <w:rPr>
          <w:i/>
        </w:rPr>
        <w:t>Ramaria parabotrytis</w:t>
      </w:r>
      <w:r>
        <w:t xml:space="preserve"> (EN). Den totala populationen i landet bedöms ha minskat de senaste 50 åren och förväntas fortsätta minska i hög grad på grund av slutavverkning av äldre grandominerad barrskog. Minskningstakten överstiger gränsvärdet för Sårbar (VU) (SLU Artdatabanken, 2026).</w:t>
      </w:r>
    </w:p>
    <w:p>
      <w:r>
        <w:rPr>
          <w:b/>
        </w:rPr>
        <w:t xml:space="preserve">Skäggvaxskivling (VU) </w:t>
      </w:r>
      <w:r>
        <w:t>bildar mykorrhiza med gran i äldre ängs- och blåbärsgranskog på kalkrik mark. De gamla, orörda skogarnas tillbakagång innebär att arten missgynnas och många växtplatser riskerar att utplånas av skogsbruksåtgärder. På lokaler med känd förekomst bör avverkning helt undvikas eller bedrivas i form av plockhuggning eller blädning. Arten bör eftersökas i äldre barrskog i Norrland (SLU Artdatabanken, 2024).</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dofttaggsvamp (NT, T), lunglav (NT, T), orange taggsvamp (NT, T), slåtterfibbla (NT, T), småflikig brosklav (NT, T), ullticka (NT, T), finbräken (S, T), skinnlav (S, T), stuplav (S, T), svart trolldruva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