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55039-2025 i Östersunds kommun</w:t>
      </w:r>
    </w:p>
    <w:p>
      <w:r>
        <w:t>Detta dokument behandlar höga naturvärden i avverkningsanmälan A 55039-2025 i Östersunds kommun. Denna avverkningsanmälan inkom 2025-11-06 15:44:34 och omfattar 19,6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8 naturvårdsarter hittats: garnlav (NT), granticka (NT), harticka (NT), järpe (NT, §4), spillkråka (NT, §4), guckusko (S, §7), lavskrika (§4) och revlummer (§9).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47355"/>
            <wp:docPr id="1" name="Picture 1"/>
            <wp:cNvGraphicFramePr>
              <a:graphicFrameLocks noChangeAspect="1"/>
            </wp:cNvGraphicFramePr>
            <a:graphic>
              <a:graphicData uri="http://schemas.openxmlformats.org/drawingml/2006/picture">
                <pic:pic>
                  <pic:nvPicPr>
                    <pic:cNvPr id="0" name="A 55039-2025 karta.png"/>
                    <pic:cNvPicPr/>
                  </pic:nvPicPr>
                  <pic:blipFill>
                    <a:blip r:embed="rId16"/>
                    <a:stretch>
                      <a:fillRect/>
                    </a:stretch>
                  </pic:blipFill>
                  <pic:spPr>
                    <a:xfrm>
                      <a:off x="0" y="0"/>
                      <a:ext cx="5486400" cy="48473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7029276, E 499560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pPr>
        <w:pStyle w:val="Heading1"/>
      </w:pPr>
      <w:r>
        <w:t>Fridlysta arter</w:t>
      </w:r>
    </w:p>
    <w:p>
      <w:r>
        <w:t>Följande fridlysta arter har sina livsmiljöer och växtplatser i den avverkningsanmälda skogen: järpe (NT, §4), spillkråka (NT, §4), guckusko (S, §7), lavskrika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(SLU Artdatabanken, 2021; IUCN, 2011).</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w:t>
      </w:r>
    </w:p>
    <w:p>
      <w:r>
        <w:t>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