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12285-2022 i Östersunds kommun</w:t>
      </w:r>
    </w:p>
    <w:p>
      <w:r>
        <w:t>Detta dokument behandlar höga naturvärden i avverkningsanmälan A 12285-2022 i Östersunds kommun som inkom 2022-03-17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9 naturvårdsarter hittats: finbräken (S, T), flugblomster (S, §8), gräsull (S), grönkulla (S, T, §8), tvåblad (S, §8), brudsporre (§8), dubbelnycklar (§8), fläcknycklar (§8) och vanliga ängsnycklar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7019382, E 496101 i SWEREF 99 TM.</w:t>
      </w:r>
    </w:p>
    <w:p>
      <w:pPr>
        <w:pStyle w:val="Heading2"/>
      </w:pPr>
      <w:r>
        <w:t>Fridlysta arter</w:t>
      </w:r>
    </w:p>
    <w:p>
      <w:r>
        <w:t>Följande fridlysta arter har sina livsmiljöer och växtplatser i den avverkningsanmälda skogen: flugblomster (S, §8), grönkulla (S, T, §8), tvåblad (S, §8), brudsporre (§8), dubbelnycklar (§8), fläcknycklar (§8) och vanliga ängsnycklar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2"/>
      </w:pPr>
      <w:r>
        <w:t>Övriga naturvårdsarter</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