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26612-2025 i Östersunds kommun</w:t>
      </w:r>
    </w:p>
    <w:p>
      <w:r>
        <w:t>Detta dokument behandlar höga naturvärden i avverkningsanmälan A 26612-2025 i Östersunds kommun som inkom 2025-06-02 och omfattar 20,6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brunfläckig pärlemorfjäril (VU), silverblåvinge (VU), violett guldvinge (VU, §4a), ängsblåvinge (VU) och turkos blåvinge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793346"/>
            <wp:docPr id="1" name="Picture 1"/>
            <wp:cNvGraphicFramePr>
              <a:graphicFrameLocks noChangeAspect="1"/>
            </wp:cNvGraphicFramePr>
            <a:graphic>
              <a:graphicData uri="http://schemas.openxmlformats.org/drawingml/2006/picture">
                <pic:pic>
                  <pic:nvPicPr>
                    <pic:cNvPr id="0" name="A 26612-2025 karta.png"/>
                    <pic:cNvPicPr/>
                  </pic:nvPicPr>
                  <pic:blipFill>
                    <a:blip r:embed="rId16"/>
                    <a:stretch>
                      <a:fillRect/>
                    </a:stretch>
                  </pic:blipFill>
                  <pic:spPr>
                    <a:xfrm>
                      <a:off x="0" y="0"/>
                      <a:ext cx="5486400" cy="3793346"/>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6997164, E 498405 i SWEREF 99 TM.</w:t>
      </w:r>
    </w:p>
    <w:p>
      <w:pPr>
        <w:pStyle w:val="Heading2"/>
      </w:pPr>
      <w:r>
        <w:t>Fridlysta arter</w:t>
      </w:r>
    </w:p>
    <w:p>
      <w:r>
        <w:t>Följande fridlysta arter har sina livsmiljöer och växtplatser i den avverkningsanmälda skogen: violett guldvinge (VU, §4a).</w:t>
      </w:r>
    </w:p>
    <w:p>
      <w:pPr>
        <w:pStyle w:val="Heading2"/>
      </w:pPr>
      <w:r>
        <w:t>Övriga naturvårdsarter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