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50126-2024 i Östersunds kommun</w:t>
      </w:r>
    </w:p>
    <w:p>
      <w:r>
        <w:t>Detta klagomål behandlar höga naturvärden i avverkningsanmälan A 50126-2024 i Östersunds kommun som inkom 2024-11-04 och omfattar 2,6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7001746, E 510405 i SWEREF 99 TM.</w:t>
      </w:r>
    </w:p>
    <w:p>
      <w:r>
        <w:t>I och inom 12 meter från avverkningsanmälan finns fynd av 21 naturvårdsarter, varav 16 är rödlistade, 5 är fridlysta, 18 är typiska (T) och 4 är signalarter (S): doftticka (VU, T, §8), garnlav (VU, T), gräddporing (VU, T), gränsticka (VU, T), knärot (VU, T, §8), sprickporing (VU), dropptaggsvamp (NT, T), kolflarnlav (NT, T), lunglav (NT, T), rosenticka (NT, T), skrovellav (NT, T), talltita (NT, §4), tretåig hackspett (NT, T, §4), ullticka (NT, T), vedtrappmossa (NT, T), vitgrynig nållav (NT), luddlav (S, T), skinnlav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5893"/>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5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