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18338-2025 i Östersunds kommun</w:t>
      </w:r>
    </w:p>
    <w:p>
      <w:r>
        <w:t>Denna tillsynsbegäran behandlar höga naturvärden i avverkningsanmälan A 18338-2025 i Östersunds kommun som inkom 2025-04-15 och omfattar 5,3 ha.</w:t>
      </w:r>
    </w:p>
    <w:p>
      <w:pPr>
        <w:pStyle w:val="Caption"/>
      </w:pPr>
      <w:r>
        <w:drawing>
          <wp:inline xmlns:a="http://schemas.openxmlformats.org/drawingml/2006/main" xmlns:pic="http://schemas.openxmlformats.org/drawingml/2006/picture">
            <wp:extent cx="5486400" cy="4796358"/>
            <wp:docPr id="1" name="Picture 1"/>
            <wp:cNvGraphicFramePr>
              <a:graphicFrameLocks noChangeAspect="1"/>
            </wp:cNvGraphicFramePr>
            <a:graphic>
              <a:graphicData uri="http://schemas.openxmlformats.org/drawingml/2006/picture">
                <pic:pic>
                  <pic:nvPicPr>
                    <pic:cNvPr id="0" name="A 18338-2025 karta.png"/>
                    <pic:cNvPicPr/>
                  </pic:nvPicPr>
                  <pic:blipFill>
                    <a:blip r:embed="rId16"/>
                    <a:stretch>
                      <a:fillRect/>
                    </a:stretch>
                  </pic:blipFill>
                  <pic:spPr>
                    <a:xfrm>
                      <a:off x="0" y="0"/>
                      <a:ext cx="5486400" cy="47963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7003978, E 505084 i SWEREF 99 TM.</w:t>
      </w:r>
    </w:p>
    <w:p>
      <w:r>
        <w:t>I avverkningsanmälan finns fynd av 6 naturvårdsarter, varav 3 är rödlistade, 1 är fridlyst, 3 är typiska (T) och 2 är signalarter (S): kolflarnlav (NT, T), oljetagging (NT), vedflamlav (NT), barkticka (S, T), stor aspticka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Oljetagging (NT)</w:t>
      </w:r>
      <w:r>
        <w:t xml:space="preserve"> är en nedbrytare på grova liggande stammar av asp, sällsynt andra lövträd. Påträffas framförallt i fuktiga lägen i löv- och blandskog, t ex äldre bondeskogar men också i naturskogsartad barrskog med aspinslag. Arten påverkas negativt av brist på död ved och den totala populationen i landet bedöms fortfarande minska fortlöpande, framförallt på grund av att äldre aspbestånd i sluten, fuktig miljö slutavverkas eller gallras i en snabbare takt än vad lämpliga miljöer nybildas (SLU Artdatabanken, 2026).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