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48059-2025 i Östersunds kommun</w:t>
      </w:r>
    </w:p>
    <w:p>
      <w:r>
        <w:t>Denna tillsynsbegäran behandlar höga naturvärden i avverkningsanmälan A 48059-2025 i Östersunds kommun som inkom 2025-10-02 och omfattar 12,2 ha.</w:t>
      </w:r>
    </w:p>
    <w:p>
      <w:pPr>
        <w:pStyle w:val="Caption"/>
      </w:pPr>
      <w:r>
        <w:drawing>
          <wp:inline xmlns:a="http://schemas.openxmlformats.org/drawingml/2006/main" xmlns:pic="http://schemas.openxmlformats.org/drawingml/2006/picture">
            <wp:extent cx="5486400" cy="4472108"/>
            <wp:docPr id="1" name="Picture 1"/>
            <wp:cNvGraphicFramePr>
              <a:graphicFrameLocks noChangeAspect="1"/>
            </wp:cNvGraphicFramePr>
            <a:graphic>
              <a:graphicData uri="http://schemas.openxmlformats.org/drawingml/2006/picture">
                <pic:pic>
                  <pic:nvPicPr>
                    <pic:cNvPr id="0" name="A 48059-2025 karta.png"/>
                    <pic:cNvPicPr/>
                  </pic:nvPicPr>
                  <pic:blipFill>
                    <a:blip r:embed="rId16"/>
                    <a:stretch>
                      <a:fillRect/>
                    </a:stretch>
                  </pic:blipFill>
                  <pic:spPr>
                    <a:xfrm>
                      <a:off x="0" y="0"/>
                      <a:ext cx="5486400" cy="4472108"/>
                    </a:xfrm>
                    <a:prstGeom prst="rect"/>
                  </pic:spPr>
                </pic:pic>
              </a:graphicData>
            </a:graphic>
          </wp:inline>
        </w:drawing>
      </w:r>
    </w:p>
    <w:p>
      <w:pPr>
        <w:pStyle w:val="Caption"/>
        <w:spacing w:after="240"/>
      </w:pPr>
      <w:r>
        <w:t>Figur 1. Fyndplatser för naturvårdsarter i och inom 13 meter från avverkningsanmälan. Markörer utan svart kant är placerade på fyndplatsen. Markörer med svart kant är placerade vid sidan av fyndplatsen och har ett svart streck som visar fyndplatsens exakta position. Kartans mittpunktskoordinat är N 7040013, E 495576 i SWEREF 99 TM.</w:t>
      </w:r>
    </w:p>
    <w:p>
      <w:r>
        <w:t>I och inom 13 meter från avverkningsanmälan finns fynd av 22 naturvårdsarter, varav 14 är rödlistade, 6 är fridlysta, 18 är typiska (T) och 5 är signalarter (S): garnlav (VU, T), knärot (VU, T, §8), brunpudrad nållav (NT, T), gammelgransskål (NT, T), harticka (NT, T), liten svartspik (NT), lunglav (NT, T), rynkskinn (NT, T), skogshare (NT), skrovellav (NT, T), talltita (NT, §4), tretåig hackspett (NT, T, §4), ullticka (NT, T), vitgrynig nållav (NT), korallblylav (S, T), luddlav (S, T), stuplav (S, T), trådticka (S, T), vedticka (S, T), blåsippa (T, §9), spillkråka (T, §4) och tjäder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0.78 ha med buffertzonerna och får av detta skäl inte avverkas.</w:t>
      </w:r>
    </w:p>
    <w:p>
      <w:pPr>
        <w:pStyle w:val="Caption"/>
      </w:pPr>
      <w:r>
        <w:drawing>
          <wp:inline xmlns:a="http://schemas.openxmlformats.org/drawingml/2006/main" xmlns:pic="http://schemas.openxmlformats.org/drawingml/2006/picture">
            <wp:extent cx="5486400" cy="5677605"/>
            <wp:docPr id="2" name="Picture 2"/>
            <wp:cNvGraphicFramePr>
              <a:graphicFrameLocks noChangeAspect="1"/>
            </wp:cNvGraphicFramePr>
            <a:graphic>
              <a:graphicData uri="http://schemas.openxmlformats.org/drawingml/2006/picture">
                <pic:pic>
                  <pic:nvPicPr>
                    <pic:cNvPr id="0" name="A 48059-2025 karta knärot.png"/>
                    <pic:cNvPicPr/>
                  </pic:nvPicPr>
                  <pic:blipFill>
                    <a:blip r:embed="rId17"/>
                    <a:stretch>
                      <a:fillRect/>
                    </a:stretch>
                  </pic:blipFill>
                  <pic:spPr>
                    <a:xfrm>
                      <a:off x="0" y="0"/>
                      <a:ext cx="5486400" cy="5677605"/>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7040013, E 495576 i SWEREF 99 TM.</w:t>
      </w:r>
    </w:p>
    <w:p>
      <w:r>
        <w:rPr>
          <w:b/>
        </w:rPr>
        <w:t>Brunpudrad nållav (NT)</w:t>
      </w:r>
      <w:r>
        <w:t xml:space="preserve"> är beroende av hög, jämn luftfuktighet och kan påträffas i fuktiga skogar av naturskogskaraktär, ofta i sumpgranskog eller andra sumpskogar. Arten är placerad högst upp i Skogsstyrelsens värdepyramid för bedömning av skog med höga naturvärden och förekomster bör undantas från skogsbruksåtgärder. Brunpudrad nållav är typisk art för </w:t>
      </w:r>
      <w:r>
        <w:rPr>
          <w:i/>
        </w:rPr>
        <w:t>9010 Taiga</w:t>
      </w:r>
      <w:r>
        <w:t xml:space="preserve"> (SLU Artdatabanken, 2024; Nitare &amp; Skogsstyrelsen, 2019).</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Gammelgransskål är typisk art för </w:t>
      </w:r>
      <w:r>
        <w:rPr>
          <w:i/>
        </w:rPr>
        <w:t>9010 Taiga</w:t>
      </w:r>
      <w:r>
        <w:t xml:space="preserve"> (SLU Artdatabanken, 2024; Nitare &amp; Skogsstyrelsen, 2019).</w:t>
      </w:r>
    </w:p>
    <w:p>
      <w:r>
        <w:rPr>
          <w:b/>
        </w:rPr>
        <w:t>Harticka (NT)</w:t>
      </w:r>
      <w:r>
        <w:t xml:space="preserve"> är normalt en mycket bra signalart för granskogar med höga naturvärden. Även när svampen påträffas i mer påverkade skogar är det nästan alltid fråga om skogsmiljöer i sena successionsstadier med höga naturvärden. Skogsskötselåtgärder på eller i omedelbar närhet av växtplatserna kan innebära ett hot mot arten. Harticka är typisk art för </w:t>
      </w:r>
      <w:r>
        <w:rPr>
          <w:i/>
        </w:rPr>
        <w:t xml:space="preserve">9010 Taiga, 9050 Näringsrik granskog </w:t>
      </w:r>
      <w:r>
        <w:t xml:space="preserve">och </w:t>
      </w:r>
      <w:r>
        <w:rPr>
          <w:i/>
        </w:rPr>
        <w:t>9030 Landhöjningsskog</w:t>
      </w:r>
      <w:r>
        <w:t xml:space="preserve"> (SLU Artdatabanken, 2024; Nitare &amp; Skogsstyrelsen, 2019).</w:t>
      </w:r>
    </w:p>
    <w:p>
      <w:r>
        <w:rPr>
          <w:b/>
        </w:rPr>
        <w:t>Liten svartspik (NT)</w:t>
      </w:r>
      <w:r>
        <w:t xml:space="preserve"> växer på granbark i boreala barrskogar med lång trädkontinuitet och hög luftfuktighet. Orsaken till tillbakagången beror på främst på slutavverkningar av naturskogsartade granskogar. Bestånd med riklig förekomst av liten svartspik bör regelmässigt sparas. Naturhänsyn i samband med slutavverkning måste ske så att man undviker uttorkningseffekter (SLU Artdatabanken, 2024).</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Rynkskinn (NT)</w:t>
      </w:r>
      <w:r>
        <w:t xml:space="preserve"> är en vednedbrytare som växer på grova granlågor och ingår i en karaktäristisk association av vedsvampar knutna till urskogsartade barrskogar. Den har klassificerats som en “urskogsindikator” och är placerad i toppen av Skogsstyrelsens värdepyramid för bedömning av skog med höga naturvärden. Allt tyder på att rynkskinn är mycket känslig för skogliga ingrepp och lokalerna, som oftast har höga biologiska kvaliteter, bör lämnas till fri utveckling. Rynkskinn är typisk art för </w:t>
      </w:r>
      <w:r>
        <w:rPr>
          <w:i/>
        </w:rPr>
        <w:t xml:space="preserve">9010 Taiga, 9050 Näringsrik granskog </w:t>
      </w:r>
      <w:r>
        <w:t>och</w:t>
      </w:r>
      <w:r>
        <w:rPr>
          <w:i/>
        </w:rPr>
        <w:t xml:space="preserve"> 9030 Landhöjningsskog</w:t>
      </w:r>
      <w:r>
        <w:t xml:space="preserve"> (Nitare &amp; Skogsstyrelsen, 2019; SLU Artdatabanken, 2026).</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de sällsynta parasitsvamparna skrovellavsknapp (EN), </w:t>
      </w:r>
      <w:r>
        <w:rPr>
          <w:i/>
        </w:rPr>
        <w:t>Catillaria lobariicola</w:t>
      </w:r>
      <w:r>
        <w:t xml:space="preserve"> (VU) och </w:t>
      </w:r>
      <w:r>
        <w:rPr>
          <w:i/>
        </w:rPr>
        <w:t>Merismatium lobariae</w:t>
      </w:r>
      <w:r>
        <w:t xml:space="preserve"> (DD). Skrovellav är typisk art för </w:t>
      </w:r>
      <w:r>
        <w:rPr>
          <w:i/>
        </w:rPr>
        <w:t xml:space="preserve">9010 Taiga, 9020 Nordlig ädellövskog, 9040 Fjällbjörkskog, 9070 Trädklädd betesmark, 9160 Näringsrik ekskog, 9180 Ädellövskog i branter, 9190 Näringsfattig ekskog, 8210 Kalkbranter </w:t>
      </w:r>
      <w:r>
        <w:t xml:space="preserve">och </w:t>
      </w:r>
      <w:r>
        <w:rPr>
          <w:i/>
        </w:rPr>
        <w:t>6530 Lövängar</w:t>
      </w:r>
      <w:r>
        <w:t xml:space="preserve"> (SLU Artdatabanken, 2026; Nitare &amp; Skogsstyrelsen, 2019).</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Vitgrynig nållav (NT)</w:t>
      </w:r>
      <w:r>
        <w:t xml:space="preserve"> växer nästan uteslutande på bark av gamla, senvuxna granar i skuggiga lägen med hög och jämn luftfuktighet. Den vanligaste naturtypen för arten är kontinuitetsskogar på frisk mark men den finns också i sumpgranskogar. På lång sikt utgör avverkningar av olikåldriga granskogar av naturskogskaraktär ett allvarligt hot mot arten och skogsbruksåtgärder på eller i närheten av växtplatserna bör undvikas. Naturskogsartade, fuktiga granskogar med förekomster av arten signalerar höga biologiska värden och bör bevaras (SLU Artdatabanken, 2024; Nitare &amp; Skogsstyrelsen, 2019).</w:t>
      </w:r>
    </w:p>
    <w:p>
      <w:r>
        <w:rPr>
          <w:b/>
        </w:rPr>
        <w:t>Korallblylav</w:t>
      </w:r>
      <w:r>
        <w:t xml:space="preserve"> växer på bark av asp, ask, rönn, sälg, bok och lönn och signalerar överallt skogsbestånd med höga naturvärden och den följs nästan alltid av andra ovanliga och rödlistade arter. Den indikerar hög och jämn luftfuktighet och växer främst i områden med lång skoglig kontinuitet där det funnits ett ständigt inslag av gamla lövträd. Korallblylav är typisk art för </w:t>
      </w:r>
      <w:r>
        <w:rPr>
          <w:i/>
        </w:rPr>
        <w:t xml:space="preserve">9020 Nordlig ädellövskog, 9070 Trädklädd betesmark, 9160 Näringsrik ekskog, 9180 Ädellövskog i branter </w:t>
      </w:r>
      <w:r>
        <w:t>och</w:t>
      </w:r>
      <w:r>
        <w:rPr>
          <w:i/>
        </w:rPr>
        <w:t xml:space="preserve"> 9190 Näringsfattig ekskog</w:t>
      </w:r>
      <w:r>
        <w:t xml:space="preserve"> (SLU Artdatabanken, 2024; Nitare &amp; Skogsstyrelsen, 2019).</w:t>
      </w:r>
    </w:p>
    <w:p>
      <w:r>
        <w:rPr>
          <w:b/>
        </w:rPr>
        <w:t>Luddlav</w:t>
      </w:r>
      <w:r>
        <w:t xml:space="preserve"> signalerar lång skoglig kontinuitet med ett stabilt lokal- och mikroklimat med hög och jämn fuktighet. Luddlav är typisk art för </w:t>
      </w:r>
      <w:r>
        <w:rPr>
          <w:i/>
        </w:rPr>
        <w:t>9010 Taiga,</w:t>
      </w:r>
      <w:r>
        <w:t xml:space="preserve"> </w:t>
      </w:r>
      <w:r>
        <w:rPr>
          <w:i/>
        </w:rPr>
        <w:t xml:space="preserve">9020 Nordlig ädellövskog, 9070 Trädklädd betesmark, 9110 Näringsfattig bokskog, 9180 Ädellövskog i branter </w:t>
      </w:r>
      <w:r>
        <w:t>och</w:t>
      </w:r>
      <w:r>
        <w:rPr>
          <w:i/>
        </w:rPr>
        <w:t xml:space="preserve"> 9190 Näringsfattig ekskog </w:t>
      </w:r>
      <w:r>
        <w:t>(Nitare &amp; Skogsstyrelsen, 2019; SLU Artdatabanken, 2025).</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r>
        <w:rPr>
          <w:b/>
        </w:rPr>
        <w:t xml:space="preserve">Trådticka </w:t>
      </w:r>
      <w:r>
        <w:t xml:space="preserve">är knuten till grova granar i rikare ofta fuktiga miljöer. Den återfinns på både levande och döda träd samt stubbar och nyligen fallna träd. Karaktärsart för äldre fuktiga granskogsbiotoper, och i stor mängd är den en bra signalart för miljöer med andra rödlistade arter. Trådticka är typisk art för </w:t>
      </w:r>
      <w:r>
        <w:rPr>
          <w:i/>
        </w:rPr>
        <w:t xml:space="preserve">9010 Taiga </w:t>
      </w:r>
      <w:r>
        <w:t xml:space="preserve">och </w:t>
      </w:r>
      <w:r>
        <w:rPr>
          <w:i/>
        </w:rPr>
        <w:t xml:space="preserve">9050 Näringsrik granskog </w:t>
      </w:r>
      <w:r>
        <w:t>(SLU Artdatabanken, 2025).</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garnlav (VU, T), knärot (VU, T, §8), brunpudrad nållav (NT, T), gammelgransskål (NT, T), harticka (NT, T), lunglav (NT, T), rynkskinn (NT, T), skrovellav (NT, T), tretåig hackspett (NT, T, §4), ullticka (NT, T), korallblylav (S, T), luddlav (S, T), stuplav (S, T), trådticka (S, T), vedticka (S, T), blåsippa (T, §9), spillkråka (T, §4) och tjäder (T, §4).</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w:t>
        <w:br/>
        <w:t>Fridlysta och rödlistade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3" name="Picture 3"/>
            <wp:cNvGraphicFramePr>
              <a:graphicFrameLocks noChangeAspect="1"/>
            </wp:cNvGraphicFramePr>
            <a:graphic>
              <a:graphicData uri="http://schemas.openxmlformats.org/drawingml/2006/picture">
                <pic:pic>
                  <pic:nvPicPr>
                    <pic:cNvPr id="0" name="uppföljning av västlig taiga.jpeg"/>
                    <pic:cNvPicPr/>
                  </pic:nvPicPr>
                  <pic:blipFill>
                    <a:blip r:embed="rId18"/>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 Id="rId18"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