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22 naturvårdsarter, varav 6 är rödlistade, 7 är fridlysta, 18 är typiska (T) och 8 är signalarter (S): garnlav (VU, T), lunglav (NT, T), rödvingetrast (NT, §4), talltita (NT, §4), tretåig hackspett (NT, T, §4), ullticka (NT, T), finbräken (S, T), kransrams (S, T), luddlav (S, T), spindelblomster (S, T, §8), stuplav (S, T), svart trolldruva (S, T), tvåblad (S, §8), ögonpyrola (S, T), blåsippa (T, §9), brudborste (T), ekbräken (T), kransmossa (T), kärrfibbla (T), nordisk stormhatt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finbräken (S, T), kransrams (S, T), luddlav (S, T), spindelblomster (S, T, §8), stuplav (S, T), svart trolldruva (S, T), ögonpyrola (S, T), blåsippa (T, §9), brudborste (T), ekbräken (T), kransmossa (T), kärrfibbla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