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8551-2026 i Östersunds kommun</w:t>
      </w:r>
    </w:p>
    <w:p>
      <w:r>
        <w:t>Detta dokument behandlar höga naturvärden i avverkningsanmälan A 8551-2026 i Östersunds kommun. Denna avverkningsanmälan inkom 2026-02-12 14:54:51 och omfattar 3,6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garnlav (NT), lunglav (NT), talltita (NT, §4), vitgrynig nållav (NT), bårdlav (S) och stuplav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2177"/>
            <wp:docPr id="1" name="Picture 1"/>
            <wp:cNvGraphicFramePr>
              <a:graphicFrameLocks noChangeAspect="1"/>
            </wp:cNvGraphicFramePr>
            <a:graphic>
              <a:graphicData uri="http://schemas.openxmlformats.org/drawingml/2006/picture">
                <pic:pic>
                  <pic:nvPicPr>
                    <pic:cNvPr id="0" name="A 8551-2026 karta.png"/>
                    <pic:cNvPicPr/>
                  </pic:nvPicPr>
                  <pic:blipFill>
                    <a:blip r:embed="rId16"/>
                    <a:stretch>
                      <a:fillRect/>
                    </a:stretch>
                  </pic:blipFill>
                  <pic:spPr>
                    <a:xfrm>
                      <a:off x="0" y="0"/>
                      <a:ext cx="5486400" cy="46521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7001754, E 504541 i SWEREF 99 TM.</w:t>
      </w:r>
    </w:p>
    <w:p>
      <w:r>
        <w:rPr>
          <w:b/>
        </w:rPr>
        <w:t>Bårdlav</w:t>
      </w:r>
      <w:r>
        <w:t xml:space="preserve"> signalerar miljöer med höga naturvärden och på lokalerna finns vanligtvis många andra ovanliga och rödlistade arter. Den visar även på platser med hög och jämn luftfuktighet.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2025;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2025;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Stuplav är typisk art för </w:t>
      </w:r>
      <w:r>
        <w:rPr>
          <w:i/>
        </w:rPr>
        <w:t>9010 Taiga</w:t>
      </w:r>
      <w:r>
        <w:t xml:space="preserve">. I skogar med suboceaniskt klimat finns det en mycket sällsynt parasit, njurlavsknapp </w:t>
      </w:r>
      <w:r>
        <w:rPr>
          <w:i/>
        </w:rPr>
        <w:t>Pletocarpon nephromeum</w:t>
      </w:r>
      <w:r>
        <w:t xml:space="preserve"> (EN), som växer på stuplav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knärot (VU, §8)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1.17 ha med buffertzonerna och får av detta skäl inte avverkas.</w:t>
      </w:r>
    </w:p>
    <w:p>
      <w:pPr>
        <w:pStyle w:val="Caption"/>
      </w:pPr>
      <w:r>
        <w:drawing>
          <wp:inline xmlns:a="http://schemas.openxmlformats.org/drawingml/2006/main" xmlns:pic="http://schemas.openxmlformats.org/drawingml/2006/picture">
            <wp:extent cx="5486400" cy="5541801"/>
            <wp:docPr id="2" name="Picture 2"/>
            <wp:cNvGraphicFramePr>
              <a:graphicFrameLocks noChangeAspect="1"/>
            </wp:cNvGraphicFramePr>
            <a:graphic>
              <a:graphicData uri="http://schemas.openxmlformats.org/drawingml/2006/picture">
                <pic:pic>
                  <pic:nvPicPr>
                    <pic:cNvPr id="0" name="A 8551-2026 karta knärot.png"/>
                    <pic:cNvPicPr/>
                  </pic:nvPicPr>
                  <pic:blipFill>
                    <a:blip r:embed="rId17"/>
                    <a:stretch>
                      <a:fillRect/>
                    </a:stretch>
                  </pic:blipFill>
                  <pic:spPr>
                    <a:xfrm>
                      <a:off x="0" y="0"/>
                      <a:ext cx="5486400" cy="554180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7001754, E 504541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2026-04-02</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