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27907-2024 i Östersunds kommun</w:t>
      </w:r>
    </w:p>
    <w:p>
      <w:r>
        <w:t>Detta dokument behandlar höga naturvärden i avverkningsanmälan A 27907-2024 i Östersunds kommun. Denna avverkningsanmälan inkom 2024-07-02 22:42:12 och omfattar 12,7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9 naturvårdsarter hittats: goliatmusseron (VU), jättemusseron (VU), blå taggsvamp (NT), dvärgbägarlav (NT), orange taggsvamp (NT), skrovlig taggsvamp (NT), svart taggsvamp agg. (NT), vedflamlav (NT) och skarp dropptaggsvamp (S). Av dessa är 8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258074"/>
            <wp:docPr id="1" name="Picture 1"/>
            <wp:cNvGraphicFramePr>
              <a:graphicFrameLocks noChangeAspect="1"/>
            </wp:cNvGraphicFramePr>
            <a:graphic>
              <a:graphicData uri="http://schemas.openxmlformats.org/drawingml/2006/picture">
                <pic:pic>
                  <pic:nvPicPr>
                    <pic:cNvPr id="0" name="A 27907-2024 karta.png"/>
                    <pic:cNvPicPr/>
                  </pic:nvPicPr>
                  <pic:blipFill>
                    <a:blip r:embed="rId16"/>
                    <a:stretch>
                      <a:fillRect/>
                    </a:stretch>
                  </pic:blipFill>
                  <pic:spPr>
                    <a:xfrm>
                      <a:off x="0" y="0"/>
                      <a:ext cx="5486400" cy="525807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7003153, E 509223 i SWEREF 99 TM.</w:t>
      </w:r>
    </w:p>
    <w:p>
      <w:r>
        <w:rPr>
          <w:b/>
        </w:rPr>
        <w:t xml:space="preserve">Blå taggsvamp (NT) </w:t>
      </w:r>
      <w:r>
        <w:t xml:space="preserve">är en karaktärsart i såväl örtrika kalkbarrskogar som i torra sandtallskogar där det föreligger gammal skog med långvarig trädkontinuitet. Är sällsynt och mycket kravfull i södra och mellersta Sverige. Den hotas främst av skogsavverkning och tycks försvinna efter slutavverkning, markberedning och plantering. I kalkgranskogar verkar arten vara mycket känslig. Granskogar med arten bör formellt skydddas. Blå taggsvamp (NT) är typisk art för </w:t>
      </w:r>
      <w:r>
        <w:rPr>
          <w:i/>
        </w:rPr>
        <w:t>9010 Taiga</w:t>
      </w:r>
      <w:r>
        <w:t xml:space="preserve"> (SLU Artdatabanken, 2024; Nitare &amp; Skogsstyrelsen, 2019).</w:t>
      </w:r>
    </w:p>
    <w:p>
      <w:r>
        <w:rPr>
          <w:b/>
        </w:rPr>
        <w:t>Dvärgbägarlav (NT)</w:t>
      </w:r>
      <w:r>
        <w:t xml:space="preserve"> förekommer över hela Sverige på gammal hård ved, huvudsakligen på tall men i södra Sverige även på ek. Veden utgörs framförallt av grova stubbar, lågor och grenar. Substratet har blivit sällsyntare och nybildning av substrat sker bara i begränsad omfattning. Arten hotas av att grova lågor blir allt sällsyntare i dagens kulturskogar samt att nybildningen av lämpliga substrat går mycket långsamt. En riklig tillgång på gamla tall- eller eklågor måste säkerställas på artens lokaler. Dvärgbägarlav är typisk art för </w:t>
      </w:r>
      <w:r>
        <w:rPr>
          <w:i/>
        </w:rPr>
        <w:t>9010 Taiga</w:t>
      </w:r>
      <w:r>
        <w:t xml:space="preserve"> (SLU Artdatabanken, 2024; Nitare &amp; Skogsstyrelsen, 2019).</w:t>
      </w:r>
    </w:p>
    <w:p>
      <w:r>
        <w:rPr>
          <w:b/>
        </w:rPr>
        <w:t>Goliatmusseron (VU)</w:t>
      </w:r>
      <w:r>
        <w:t xml:space="preserve"> är en mykorrhizasvamp knuten till gammal tall på sandig eller grusig mark, främst ljusöppna torra lavtallhedar där svampen växer bland renlavar och lingon. Mager, sandig och brandpräglad tallskog med lång trädkontinuitet bör undantas från trakthyggesbruk och inte kalavverkas. Goliatmusseron är placerad högst upp i Skogsstyrelsens värdepyramid för bedömning av skog med höga naturvärden och den är globalt rödlistad som sårbar (VU) vilket innebär att Sverige har ett internationellt ansvar för arten. Goliatmusseron är typisk art för </w:t>
      </w:r>
      <w:r>
        <w:rPr>
          <w:i/>
        </w:rPr>
        <w:t>9010 Taiga</w:t>
      </w:r>
      <w:r>
        <w:t xml:space="preserve"> (SLU Artdatabanken, 2024; Nitare &amp; Skogsstyrelsen, 2019; IUCN, 2020).</w:t>
      </w:r>
    </w:p>
    <w:p>
      <w:r>
        <w:rPr>
          <w:b/>
        </w:rPr>
        <w:t>Jättemusseron (VU)</w:t>
      </w:r>
      <w:r>
        <w:t xml:space="preserve"> bildar mykorrhiza med tall, i äldre lavtallskog och hällmarkstallskog. Den visar på såväl sandtallskogar som hällmarkstallskogar med långvarig tallkontinuitet och svampen är sannolikt en kvarleva (relikt) på sina samtliga växtplatser. Arten är placerad högst upp i Skogsstyrelsens värdepyramid för bedömning av skog med höga naturvärden och slutavverkning bör tills vidare undvikas i skogsbestånd där arten är känd. Jättemusseron är globalt rödlistad som sårbar (VU) och Sverige och Norge har sannolikt merparten av den europeiska populationen och därmed ett särskilt ansvar för dess bevarande (IUCN, 2025; SLU Artdatabanken, 2024; Nitare &amp; Skogsstyrelsen, 2019).</w:t>
      </w:r>
    </w:p>
    <w:p>
      <w:r>
        <w:rPr>
          <w:b/>
        </w:rPr>
        <w:t xml:space="preserve">Orange taggsvamp (NT) </w:t>
      </w:r>
      <w:r>
        <w:t xml:space="preserve">bildar mykorrhiza med både gran och tall och den förekommer främst i äldre barrskogar med kontinuitetsskogskaraktär. Mest frekvent är den i äldre mossrik granskog, men då bara i skogar inom granens naturliga utbredningsområde och i bestånd med långvarig grankontinuitet. Den totala populationen i landet bedöms ha minskat kraftigt och fortsatt kommer att minska då arten är knuten till en produktiv skogsmiljö som successivt avverkas. Arten hotas främst av skogsavverkning och tycks försvinna efter slutavverkning, markberedning och plantering och det är inte känt att arten har återkommit i anlagd skog på tidigare kalmark. Orange taggsvamp är typisk art för </w:t>
      </w:r>
      <w:r>
        <w:rPr>
          <w:i/>
        </w:rPr>
        <w:t>9010 Taiga</w:t>
      </w:r>
      <w:r>
        <w:t xml:space="preserve"> (SLU Artdatabanken, 2024).</w:t>
      </w:r>
    </w:p>
    <w:p>
      <w:r>
        <w:rPr>
          <w:b/>
        </w:rPr>
        <w:t xml:space="preserve">Skrovlig taggsvamp (NT) </w:t>
      </w:r>
      <w:r>
        <w:t>bildar mykorrhiza med tall i äldre tallskog, framför allt på tallhed. Den växer huvudsakligen i äldre barrskog som hotas av slutavverkning. Genom att äldre barrskogar och naturskogar blir allt sällsyntare, missgynnas arten av skogsbruk. Arten ingår i ett åtgärdsprogram för hotade arter (ÅGP) och en långsiktig tillgång till svampens värdträd behöver säkras genom att växtplatserna undantas från avverkning. Skrovlig taggsvamp är globalt rödlistad som nära hotad (NT) vilket innebär att Sverige har ett internationellt ansvar för arten (IUCN, 2025; SLU Artdatabanken, 2024; Nitare, 2006).</w:t>
      </w:r>
    </w:p>
    <w:p>
      <w:r>
        <w:rPr>
          <w:b/>
        </w:rPr>
        <w:t xml:space="preserve">Svart taggsvamp agg. (NT) </w:t>
      </w:r>
      <w:r>
        <w:t>bildar huvudsakligen mykorrhiza med gran och tall, men även med ek och bok. Slutavverkning utgör det största hotet mot arten och den överlever sannolikt inte en föryngringshuggning då barrträdens rötter dör efter avverkningen. Förekomsterna i barrskog är särskilt utsatta eftersom arten föredrar att växa i äldre, virkesrika skogar med högre bonitet, som avverkas i rask takt. Fler äldre, virkesrika barrskogar med högre bonitet måste formellt skyddas som biotopskyddsområden eller naturreservat. Även oskyddade växtplatser i lövskogsbiotoper bör få ett starkt skydd. Skogsområden med svart taggsvamp bör inte gallras eller plockhuggas om inte huggningen efterföljs av skogsbete (SLU Artdatabanken, 2024).</w:t>
      </w:r>
    </w:p>
    <w:p>
      <w:r>
        <w:rPr>
          <w:b/>
        </w:rPr>
        <w:t>Vedflamlav (NT)</w:t>
      </w:r>
      <w:r>
        <w:t xml:space="preserve"> växer på gammal hård och torr, exponerad kärnved av tall, främst på högstubbar i ljusöppna lägen, t.ex. vid och på myrar, sjökanter, i glesa hällmarkskogar och i brandpräglade tallnaturskogar. Substratet nyskapas i begränsad omfattning och arten är en utmärkt indikator på höga naturvärden i denna skogstyp. Tall- och barrblandskogar med naturskogskaraktär och spår av bränder har ofta höga biologiska värden och bör skyddas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2026-04-02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