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37096-2023 i Östersunds kommun</w:t>
      </w:r>
    </w:p>
    <w:p>
      <w:r>
        <w:t>Detta dokument behandlar höga naturvärden i avverkningsanmälan A 37096-2023 i Östersunds kommun. Denna avverkningsanmälan inkom 2023-08-17 00:00:00 och omfattar 70,6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45 naturvårdsarter hittats: fjällfotad musseron (VU), grantickeporing (VU), knärot (VU, §8), läderdoftande fingersvamp (VU), skäggvaxskivling (VU), smalskaftslav (VU), sprickporing (VU), ulltickeporing (VU), barrviolspindling (NT), blanksvart spiklav (NT), blågrå svartspik (NT), doftskinn (NT), flattoppad klubbsvamp (NT), garnlav (NT), granticka (NT), gultoppig fingersvamp (NT), knottrig blåslav (NT), luddfingersvamp (NT), lunglav (NT), nordlig nållav (NT), rödbrun klubbdyna (NT), skogsfru (NT, §8), spillkråka (NT, §4), tretåig hackspett (NT, §4), ullticka (NT), vedflamlav (NT), vitskaftad svartspik (NT), vitterspindling (NT), äggvaxskivling (NT), barrfagerspindling (S), dropptaggsvamp (S), finbräken (S), guckusko (S, §7), rödfläckig zontaggsvamp (S), skinnlav (S), skogsknipprot (S, §8), strimspindling (S), svavelriska (S), tallfingersvamp (S), trådticka (S), tvåblad (S, §8), skogsrör (§7), brudsporre (§8), fläcknycklar (§8) och ängsnycklar (§8). Av dessa är 29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94403"/>
            <wp:docPr id="1" name="Picture 1"/>
            <wp:cNvGraphicFramePr>
              <a:graphicFrameLocks noChangeAspect="1"/>
            </wp:cNvGraphicFramePr>
            <a:graphic>
              <a:graphicData uri="http://schemas.openxmlformats.org/drawingml/2006/picture">
                <pic:pic>
                  <pic:nvPicPr>
                    <pic:cNvPr id="0" name="A 37096-2023 karta.png"/>
                    <pic:cNvPicPr/>
                  </pic:nvPicPr>
                  <pic:blipFill>
                    <a:blip r:embed="rId16"/>
                    <a:stretch>
                      <a:fillRect/>
                    </a:stretch>
                  </pic:blipFill>
                  <pic:spPr>
                    <a:xfrm>
                      <a:off x="0" y="0"/>
                      <a:ext cx="5486400" cy="41944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7034258, E 477742 i SWEREF 99 TM.</w:t>
      </w:r>
    </w:p>
    <w:p>
      <w:r>
        <w:rPr>
          <w:b/>
        </w:rPr>
        <w:t>Barrviolspindling (NT)</w:t>
      </w:r>
      <w:r>
        <w:t xml:space="preserve"> bildar mykorrhiza med gran, huvudsakligen i örtrika kalkpåverkade äldre granskogar. Arten är sannolikt uttorkningskänslig och knuten till granskogar med långvarig grankontinuitet. Den hotas främst av skogsavverkning och tycks försvinna efter slutavverkning, markberedning och plantering. Minskningstakten uppgår till 15 % inom 50 år och bedöms vara nära gränsvärdet för Sårbar (VU). (A2c+3c+4c) (SLU Artdatabanken, 2024; Nitare &amp; Skogsstyrelsen, 2019).</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Dropptaggsvamp</w:t>
      </w:r>
      <w:r>
        <w:t xml:space="preserve"> bildar mykorrhiza med tall, huvudsakligen i äldre skog. Total population i landet bedöms ha minskat och fortsatt minska på grund av slutavverkningar och förhöja kvävenivåer i marken som en följd av skogsgödsling. Dropptaggsvamp är typisk art för </w:t>
      </w:r>
      <w:r>
        <w:rPr>
          <w:i/>
        </w:rPr>
        <w:t xml:space="preserve">9010 Taiga </w:t>
      </w:r>
      <w:r>
        <w:t>(SLU Artdatabanken, 2025).</w:t>
      </w:r>
    </w:p>
    <w:p>
      <w:r>
        <w:rPr>
          <w:b/>
        </w:rPr>
        <w:t>Finbräken</w:t>
      </w:r>
      <w:r>
        <w:t xml:space="preserve"> växer på kalkrika marker i frisk eller fuktig mulljord. Den kräver konstant hög luftfuktighet och är mycket känslig för skogsbruksåtgärder. Arten är placerad högst upp i Skogsstyrelsens värdepyramid för bedömning av skog med höga naturvärden och utgör en karaktärsart för de mest skyddsvärda kalkgranskogarna med långvarig ekologisk kontinuitet och högt skyddsvärde. Finbräken är typisk art för </w:t>
      </w:r>
      <w:r>
        <w:rPr>
          <w:i/>
        </w:rPr>
        <w:t xml:space="preserve">9050 Näringsrik granskog </w:t>
      </w:r>
      <w:r>
        <w:t xml:space="preserve">och </w:t>
      </w:r>
      <w:r>
        <w:rPr>
          <w:i/>
        </w:rPr>
        <w:t xml:space="preserve">9040 Fjällbjörkskog </w:t>
      </w:r>
      <w:r>
        <w:t>(SLU Artdatabanken, 2024; Nitare &amp; Skogsstyrelsen, 2019).</w:t>
      </w:r>
    </w:p>
    <w:p>
      <w:r>
        <w:rPr>
          <w:b/>
        </w:rPr>
        <w:t>Fjällfotad musseron (VU)</w:t>
      </w:r>
      <w:r>
        <w:t xml:space="preserve"> bildar mykorrhiza med gran i äldre barrskog på kalkrik mark. Arten är en god indikator på en skyddsvärd miljö och platser där den förekommer bör därför undantas från storskaligt skogsbruk (SLU Artdatabanken, 2024; Nitare &amp; Skogsstyrelsen, 2019).</w:t>
      </w:r>
    </w:p>
    <w:p>
      <w:r>
        <w:rPr>
          <w:b/>
        </w:rPr>
        <w:t xml:space="preserve">Flattoppad klubbsvamp (NT) </w:t>
      </w:r>
      <w:r>
        <w:t>bildar mykorrhiza med gran och växer i äldre barrskog på näringsrik, kalkpåverkad mark. Växtmiljön utgörs vanligen av örtrika granskogar med höga naturvärden, gärna påverkade av ytligt och rörligt markvatten. Svampen kräver välutvecklade gamla mossmattor med konstant fuktigt mikroklimat och hotas främst av slutavverkning av äldre ängsgranskogar på näringsrik mark. Artens lokaler bör undantas från skogsbruk (SLU Artdatabanken, 2024).</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Grantickeporing (VU)</w:t>
      </w:r>
      <w:r>
        <w:t xml:space="preserve"> växer på murken ved och döda fruktkroppar av granticka (NT) och gränsticka (NT). Den förekommer i naturskogsliknade granskogar, gärna i fuktiga miljöer vid källbäckar och liknande. Avverkning av naturskogslika miljöer och av grova granar där grantickeporing förekommer är ett direkt hot mot artens fortlevnad. Gamla granskogar som hyser arten undantas helt från skogsbruk (SLU Artdatabanken, 2024).</w:t>
      </w:r>
    </w:p>
    <w:p>
      <w:r>
        <w:rPr>
          <w:b/>
        </w:rPr>
        <w:t>Gultoppig fingersvamp (NT)</w:t>
      </w:r>
      <w:r>
        <w:t xml:space="preserve"> bildar mykorrhiza med gran i örtrik äldre barrskog. Den är något kalkgynnad och föredrar bördiga granskogar av lågörtstyp. Svampen hotas främst av skogsavverkning och tycks försvinna efter slutavverkning, markberedning och plantering. Skogsområden med arten bör undantas från storskaligt skogsbruk. Slutavverkning, kraftig gallring och skogsgödsling måste undvikas, liksom körning med tunga maskiner (SLU Artdatabanken, 2024).</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Knottrig blåslav är typisk art för </w:t>
      </w:r>
      <w:r>
        <w:rPr>
          <w:i/>
        </w:rPr>
        <w:t xml:space="preserve">9010 Taiga </w:t>
      </w:r>
      <w:r>
        <w:t>och</w:t>
      </w:r>
      <w:r>
        <w:rPr>
          <w:i/>
        </w:rPr>
        <w:t xml:space="preserve"> 9040 Fjällbjörkskog</w:t>
      </w:r>
    </w:p>
    <w:p>
      <w:r>
        <w:t>(SLU Artdatabanken, 2024; Nitare &amp; Skogsstyrelsen, 2019).</w:t>
      </w:r>
    </w:p>
    <w:p>
      <w:r>
        <w:rPr>
          <w:b/>
        </w:rPr>
        <w:t>Luddfingersvamp (NT)</w:t>
      </w:r>
      <w:r>
        <w:t xml:space="preserve"> påträffas på mineralrik mark i granskog med mycket hög luftfuktighet, t.ex. vid källflöden, fuktdråg, bäckar eller i anslutning till vattenfall och forsdimma. Arten är mycket uttorkningskänslig och kräver granskogsmiljöer med konstant mycket hög luftfuktighet. Den tål inte en slutavverkning eller någon form av dränering som påverkar växtplatsens hydrologi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 xml:space="preserve">Läderdoftande fingersvamp (VU) </w:t>
      </w:r>
      <w:r>
        <w:t>bildar mykorrhiza med gran i örtrik äldre barrskog, ofta på kalkrik mark. Den har en speciell doft som kan påminna om nytt skoläder (skoaffär), därav det svenska namnet. Den totala populationen i landet bedöms ändå ha minskat starkt och fortsatt kommer att minska då arten är knuten till en bördig äldre kalkgranskogsmiljö som successivt avverkas och där få områden alltjämt är formellt skyddade. All form av hårdhänt skogsavverkning på eller i närheten av växtplatsen missgynnar arten. Artens huvudsakliga koppling till produktiva äldre granskogar med hög bonitet gör den särskilt utsatt för slutavverkning. Samtliga lokaler bör undantas från rationellt skogsbruk och få ett områdesskydd (SLU Artdatabanken, 2024; Nitare &amp; Skogsstyrelsen, 2019).</w:t>
      </w:r>
    </w:p>
    <w:p>
      <w:r>
        <w:rPr>
          <w:b/>
        </w:rPr>
        <w:t>Nordlig nållav (NT)</w:t>
      </w:r>
      <w:r>
        <w:t xml:space="preserve"> signalerar alltid miljöer med höga naturvärden. På lokalerna förekommer nästan alltid andra rödlistade eller ovanliga arter knutna till gamla skogar. Alla skogsskötselåtgärder på eller i omedelbar närhet av lokalerna utgör ett hot. Några av lavens rikaste förekomster bör skyddas (SLU Artdatabanken, 2024; Nitare &amp; Skogsstyrelsen, 2019).</w:t>
      </w:r>
    </w:p>
    <w:p>
      <w:r>
        <w:rPr>
          <w:b/>
        </w:rPr>
        <w:t>Rödbrun klubbdyna (NT)</w:t>
      </w:r>
      <w:r>
        <w:t xml:space="preserve"> är placerad högst upp i Skogsstyrelsens värdepyramid för bedömning av skog med höga naturvärden och indikerar örtrika kalkgranskogar med höga eller mycket höga naturvärden. All form av skogsavverkning eller annan exploatering utgör ett hot och artens växtplatser bör skyddas och lämnas orörda så att en mossrik granskogsmiljö bibehålls (SLU Artdatabanken, 2024; Nitare &amp; Skogsstyrelsen, 2019).</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 xml:space="preserve">Skäggvaxskivling (VU) </w:t>
      </w:r>
      <w:r>
        <w:t>bildar mykorrhiza med gran i äldre ängs- och blåbärsgranskog på kalkrik mark. De gamla, orörda skogarnas tillbakagång innebär att arten missgynnas och många växtplatser riskerar att utplånas av skogsbruksåtgärder. På lokaler med känd förekomst bör avverkning helt undvikas eller bedrivas i form av plockhuggning eller blädning. Arten bör eftersökas i äldre barrskog i Norrland (SLU Artdatabanken, 2024).</w:t>
      </w:r>
    </w:p>
    <w:p>
      <w:r>
        <w:rPr>
          <w:b/>
        </w:rPr>
        <w:t>Smalskaftslav (VU)</w:t>
      </w:r>
      <w:r>
        <w:t>, rödlistad som sårbar, påträffas i gamla barrskogar eller lövskogar med mycket hög och jämn luftfuktighet. Arten är placerad i toppen av Skogsstyrelsens värdepyramid för bedömning av skog med höga naturvärden och alla skogsbruksåtgärder som kan påverka hydrologi och fuktighetsförhållandena på eller i omedelbar närhet av växtplatserna, t.ex. utglesning eller slutavverkning, är ett hot. Samtliga förekomster bör skyddas tillsammans med väl tilltagna skyddszoner (Nitare &amp; Skogsstyrelsen, 2019; SLU Artdatabanken, 2024).</w:t>
      </w:r>
    </w:p>
    <w:p>
      <w:r>
        <w:rPr>
          <w:b/>
        </w:rPr>
        <w:t>Sprickporing (VU)</w:t>
      </w:r>
      <w:r>
        <w:t>, rödlistad som sårbar, är en sällsynt art som växer på senvuxen gran i lågproduktiva miljöer, ett substrat som nybildas i mycket liten skala i modern produktionsskog. Arten bedöms ha minskat kraftigt, med mer än 30 % över de senaste 20 åren, huvudsakligen på grund av slutavverkningar. I bestånd där arten förekommer måste skogsbruk undvikas. Fler av artens lokaler bör skyddas (SLU Artdatabanken, 2024).</w:t>
      </w:r>
    </w:p>
    <w:p>
      <w:r>
        <w:rPr>
          <w:b/>
        </w:rPr>
        <w:t xml:space="preserve">Tallfingersvamp </w:t>
      </w:r>
      <w:r>
        <w:t>bildar mykorrhiza med tall och gran i barrskog, framför allt sandtallskog men även i annan näringsfattig barrskog. Arten är en av landets vanligaste korallfingersvampar i äldre barrskog. Trots detta är den troligen minskande då den i huvudsak är knuten till äldre skog, främst kontinuitetsbarrskogar. Slutavverkning, gödsling eller exploatering måste undvikas (SLU Artdatabanken, 2024).</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Vitskaftad svartspik (NT)</w:t>
      </w:r>
      <w:r>
        <w:t xml:space="preserve"> förekommer främst i naturskog på gamla senvuxna granar och signalerar alltid höga naturvärden. Alla skogliga åtgärder som kan påverka markvatten och luftfuktighet på i närheten av lokaler utgör ett hot. Avverkning av naturskogar utgör ett allvarligt hot och alla skogsskötselåtgärder på eller i närheten av växtplatserna bör undvikas. Lämpligt stora reservat av naturskogstyp bör bevaras. Vitskaftad svartspik är typisk art för </w:t>
      </w:r>
      <w:r>
        <w:rPr>
          <w:i/>
        </w:rPr>
        <w:t>9010 Taiga</w:t>
      </w:r>
      <w:r>
        <w:t xml:space="preserve"> (SLU Artdatabanken, 2024; Nitare &amp; Skogsstyrelsen, 2019).</w:t>
      </w:r>
    </w:p>
    <w:p>
      <w:r>
        <w:rPr>
          <w:b/>
        </w:rPr>
        <w:t>Äggvaxskivling (NT)</w:t>
      </w:r>
      <w:r>
        <w:t xml:space="preserve"> bildar mykorrhiza med gran och förekommer huvudsakligen i äldre blåbärsgranskog. Har i Sverige en nordlig utbredningsbild och är relativt vanlig i norra Sverige. Total population i landet bedöms ha minskat kraftigt och fortgående att minska p.g.a. slutavverkningar av kontinuitetsskogar. Skogar med rik förekomst av äggvaxskivling brukar ha en artrik flora av mykorrhizasvampar och kan betraktas som nyckelbiotoper (SLU Artdatabanken, 2024).</w:t>
      </w:r>
    </w:p>
    <w:p>
      <w:pPr>
        <w:pStyle w:val="Heading1"/>
      </w:pPr>
      <w:r>
        <w:t>Fridlysta arter</w:t>
      </w:r>
    </w:p>
    <w:p>
      <w:r>
        <w:t>Följande fridlysta arter har sina livsmiljöer och växtplatser i den avverkningsanmälda skogen: knärot (VU, §8), skogsfru (NT, §8), spillkråka (NT, §4), tretåig hackspett (NT, §4), guckusko (S, §7), skogsknipprot (S, §8), tvåblad (S, §8), skogsrör (§7), brudsporre (§8), fläcknycklar (§8) och ängsnycklar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Guckusko är rödlistad som nära hotad (NT) i den europeiska rödlistan och Sverige hyser mer än halva den beräknade populationen av arten i EU, vilket innebär att vi har ett internationellt ansvar för arten. Guckusko är typisk art för </w:t>
      </w:r>
      <w:r>
        <w:rPr>
          <w:i/>
        </w:rPr>
        <w:t>9050 Näringsrik granskog</w:t>
      </w:r>
      <w:r>
        <w:t xml:space="preserve"> (SLU Artdatabanken, 2021; IUCN, 2011).</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1.96 ha med buffertzonerna och får av detta skäl inte avverkas.</w:t>
      </w:r>
    </w:p>
    <w:p>
      <w:pPr>
        <w:pStyle w:val="Caption"/>
      </w:pPr>
      <w:r>
        <w:drawing>
          <wp:inline xmlns:a="http://schemas.openxmlformats.org/drawingml/2006/main" xmlns:pic="http://schemas.openxmlformats.org/drawingml/2006/picture">
            <wp:extent cx="5486400" cy="6952481"/>
            <wp:docPr id="2" name="Picture 2"/>
            <wp:cNvGraphicFramePr>
              <a:graphicFrameLocks noChangeAspect="1"/>
            </wp:cNvGraphicFramePr>
            <a:graphic>
              <a:graphicData uri="http://schemas.openxmlformats.org/drawingml/2006/picture">
                <pic:pic>
                  <pic:nvPicPr>
                    <pic:cNvPr id="0" name="A 37096-2023 karta knärot.png"/>
                    <pic:cNvPicPr/>
                  </pic:nvPicPr>
                  <pic:blipFill>
                    <a:blip r:embed="rId17"/>
                    <a:stretch>
                      <a:fillRect/>
                    </a:stretch>
                  </pic:blipFill>
                  <pic:spPr>
                    <a:xfrm>
                      <a:off x="0" y="0"/>
                      <a:ext cx="5486400" cy="695248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7034258, E 477742 i SWEREF 99 TM.</w:t>
      </w:r>
    </w:p>
    <w:p>
      <w:pPr>
        <w:pStyle w:val="Caption"/>
      </w:pPr>
    </w:p>
    <w:p>
      <w:r>
        <w:rPr>
          <w:b/>
        </w:rPr>
        <w:t>Skogsfru (NT, §8)</w:t>
      </w:r>
      <w:r>
        <w:t xml:space="preserve"> växer i fuktig, skuggig skog med rörligt markvatten och god förnaproduktion. Den är placerad högst upp i Skogsstyrelsens värdepyramid för bedömning av skog med höga naturvärden och fridlyst enligt 8 § artskyddsförordningen. Slutavverkning utan hänsyn, markberedning och skyddsdikning utgör de allvarligaste hoten mot arten (SLU Artdatabanken, 2024).</w:t>
      </w:r>
    </w:p>
    <w:p>
      <w:r>
        <w:rPr>
          <w:b/>
        </w:rPr>
        <w:t>Skogsknipprot (§8)</w:t>
      </w:r>
      <w:r>
        <w:t xml:space="preserve"> är fridlyst enligt 8§ artskyddsförordningen och typisk art för </w:t>
      </w:r>
      <w:r>
        <w:rPr>
          <w:i/>
        </w:rPr>
        <w:t>9050 Näringsrik granskog</w:t>
      </w:r>
      <w:r>
        <w:t xml:space="preserve"> (SLU Artdatabanken, 2025).</w:t>
      </w:r>
    </w:p>
    <w:p>
      <w:r>
        <w:rPr>
          <w:b/>
        </w:rPr>
        <w:t>Skogsrör (§7)</w:t>
      </w:r>
      <w:r>
        <w:t xml:space="preserve"> är strikt skyddad enligt EU:s art- och habitatdirektiv och fridlyst enligt §7 Artskyddsförordningen (bilaga 1) vilket innebär att hela dess livsmiljö ska bevaras. Arten är en svensk-norsk endem som förekommer sparsamt till sällsynt i mellersta Norrland, i såväl lågland som fjällnära delar. Den är något kalkgynnad och växer i fuktiga-friska, gärna sluttande och rika skogar, både gran-, bland och björkskogar, i myrkanter samt längs vattendrag och raviner. Skogsrör är känslig för dränering och på dikade lokaler bör hydrologin återställas (SLU Artdatabanken, 2024).</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och bedöms vara nära gränsvärdet för Sårbar (VU) (A2bc). Spillkråka är en nyckelart i skogliga miljöer vars övergivna bohål utnyttjas av flera andra hålhäckande fågelarter och fladdermöss. Den behöver grova träd, främst tall, asp och bok som boträd.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2025; Skogsstyrelsen 2016).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Guckusko – ekologi samt krav på livsmiljön</w:t>
      </w:r>
    </w:p>
    <w:p>
      <w:r>
        <w:t>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(SLU Artdatabanken, 2021).</w:t>
      </w:r>
    </w:p>
    <w:p>
      <w:r>
        <w:t>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(SLU Artdatabanken, 2021).</w:t>
      </w:r>
    </w:p>
    <w:p>
      <w:pPr>
        <w:pStyle w:val="Heading2"/>
      </w:pPr>
      <w:r>
        <w:t>Referenser – guckusko</w:t>
      </w:r>
    </w:p>
    <w:p>
      <w:r>
        <w:t xml:space="preserve">SLU Artdatabanken, 2021. </w:t>
      </w:r>
      <w:r>
        <w:rPr>
          <w:i/>
        </w:rPr>
        <w:t xml:space="preserve">Artfaktablad. Naturvård – artfakta. </w:t>
      </w:r>
      <w:r>
        <w:t>SLU Artdatabanken, Uppsala</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 Spillkråka är en nyckelart i skogliga miljöer vars övergivna bohål utnyttjas av flera andra hålhäckande fågelarter och fladdermöss (SLU Artdatabanken, 2023; Skogsstyrelsen 2016).</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2023.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t xml:space="preserve">Ulltickeporingen har nyligen delats upp i tre olika arter: </w:t>
      </w:r>
      <w:r>
        <w:rPr>
          <w:i/>
        </w:rPr>
        <w:t xml:space="preserve">Skeletocutis brevispora </w:t>
      </w:r>
      <w:r>
        <w:t>(ulltickeporing)</w:t>
      </w:r>
      <w:r>
        <w:rPr>
          <w:i/>
        </w:rPr>
        <w:t>, Skeletocutis delicata och Skeletocutis exilis</w:t>
      </w:r>
      <w:r>
        <w:t xml:space="preserve"> (Miettinen &amp; Niemelä, 2018). Skeletocutis delicata och Skeletocutis exilis står för närvarande (2020) som ej bedömda i rödlistan.</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