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28050-2026 i Östersunds kommun</w:t>
      </w:r>
    </w:p>
    <w:p>
      <w:r>
        <w:t>Denna tillsynsbegäran behandlar höga naturvärden i avverkningsanmälan A 28050-2026 i Östersunds kommun som inkom 2026-06-22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2805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7003247, E 500533 i SWEREF 99 TM.</w:t>
      </w:r>
    </w:p>
    <w:p>
      <w:r>
        <w:t>I avverkningsanmälan finns fynd av 19 naturvårdsarter, varav 3 är rödlistade, 8 är fridlysta, 16 är typiska (T) och 4 är signalarter (S): garnlav (VU, T), knärot (VU, T, §8), tretåig hackspett (NT, T, §4), grönkulla (S, T, §8), kransrams (S, T), spindelblomster (S, T, §8), tvåblad (S, §8), blåsippa (T, §9), brudborste (T), hultbräken (T), kransmossa (T), kärrfibbla (T), liljekonvalj (T), linnea (T), nordisk stormhatt (T), ormbär (T), torta (T),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665509"/>
            <wp:docPr id="2" name="Picture 2"/>
            <wp:cNvGraphicFramePr>
              <a:graphicFrameLocks noChangeAspect="1"/>
            </wp:cNvGraphicFramePr>
            <a:graphic>
              <a:graphicData uri="http://schemas.openxmlformats.org/drawingml/2006/picture">
                <pic:pic>
                  <pic:nvPicPr>
                    <pic:cNvPr id="0" name="A 28050-2026 karta knärot.png"/>
                    <pic:cNvPicPr/>
                  </pic:nvPicPr>
                  <pic:blipFill>
                    <a:blip r:embed="rId17"/>
                    <a:stretch>
                      <a:fillRect/>
                    </a:stretch>
                  </pic:blipFill>
                  <pic:spPr>
                    <a:xfrm>
                      <a:off x="0" y="0"/>
                      <a:ext cx="5486400" cy="5665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7003247, E 500533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grönkulla (S, T, §8), kransrams (S, T), spindelblomster (S, T, §8), blåsippa (T, §9), brudborste (T), hultbräken (T), kransmossa (T), kärrfibbla (T), liljekonvalj (T), linnea (T), nordisk stormhatt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