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34816-2024 i Östersunds kommun</w:t>
      </w:r>
    </w:p>
    <w:p>
      <w:r>
        <w:t>Denna tillsynsbegäran behandlar höga naturvärden i avverkningsanmälan A 34816-2024 i Östersunds kommun som inkom 2024-08-22 och omfattar 14,4 ha.</w:t>
      </w:r>
    </w:p>
    <w:p>
      <w:pPr>
        <w:pStyle w:val="Caption"/>
      </w:pPr>
      <w:r>
        <w:drawing>
          <wp:inline xmlns:a="http://schemas.openxmlformats.org/drawingml/2006/main" xmlns:pic="http://schemas.openxmlformats.org/drawingml/2006/picture">
            <wp:extent cx="5486400" cy="5188633"/>
            <wp:docPr id="1" name="Picture 1"/>
            <wp:cNvGraphicFramePr>
              <a:graphicFrameLocks noChangeAspect="1"/>
            </wp:cNvGraphicFramePr>
            <a:graphic>
              <a:graphicData uri="http://schemas.openxmlformats.org/drawingml/2006/picture">
                <pic:pic>
                  <pic:nvPicPr>
                    <pic:cNvPr id="0" name="A 34816-2024 karta.png"/>
                    <pic:cNvPicPr/>
                  </pic:nvPicPr>
                  <pic:blipFill>
                    <a:blip r:embed="rId16"/>
                    <a:stretch>
                      <a:fillRect/>
                    </a:stretch>
                  </pic:blipFill>
                  <pic:spPr>
                    <a:xfrm>
                      <a:off x="0" y="0"/>
                      <a:ext cx="5486400" cy="518863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7003552, E 508833 i SWEREF 99 TM.</w:t>
      </w:r>
    </w:p>
    <w:p>
      <w:r>
        <w:t>I och inom 23 meter från avverkningsanmälan finns fynd av 10 naturvårdsarter, varav 10 är rödlistade och 8 är typiska (T): fläckporing (VU, T), skrovlig taggsvamp (VU), blå taggsvamp (NT, T), dvärgbägarlav (NT, T), lunglav (NT, T), mörk kolflarnlav (NT), orange taggsvamp (NT, T), reliktbock (NT, T), stiftgelélav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blå taggsvamp (NT, T), dvärgbägarlav (NT, T), lunglav (NT, T), orange taggsvamp (NT, T), reliktbock (NT, T), stiftgelélav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