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81179"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81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20 naturvårdsarter, varav 4 är rödlistade, 6 är fridlysta, 17 är typiska (T) och 8 är signalarter (S): garnlav (VU, T), lunglav (NT, T), rödvingetrast (NT, §4), tretåig hackspett (NT, T, §4), finbräken (S, T), kransrams (S, T), luddlav (S, T), spindelblomster (S, T, §8), stuplav (S, T), svart trolldruva (S, T), tvåblad (S, §8), ögonpyrola (S, T), blåsippa (T, §9), brudborste (T), ekbräken (T), kransmossa (T), kärrfibbla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finbräken (S, T), kransrams (S, T), luddlav (S, T), spindelblomster (S, T, §8), stuplav (S, T), svart trolldruva (S, T), ögonpyrola (S, T), blåsippa (T, §9), brudborste (T), ekbräken (T),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