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31238-2026 i Östersunds kommun</w:t>
      </w:r>
    </w:p>
    <w:p>
      <w:r>
        <w:t>Detta klagomål behandlar höga naturvärden i avverkningsanmälan A 31238-2026 i Östersunds kommun som inkom 2026-07-07 och omfattar 12,9 ha.</w:t>
      </w:r>
    </w:p>
    <w:p>
      <w:pPr>
        <w:pStyle w:val="Caption"/>
      </w:pPr>
      <w:r>
        <w:drawing>
          <wp:inline xmlns:a="http://schemas.openxmlformats.org/drawingml/2006/main" xmlns:pic="http://schemas.openxmlformats.org/drawingml/2006/picture">
            <wp:extent cx="5486400" cy="4499838"/>
            <wp:docPr id="1" name="Picture 1"/>
            <wp:cNvGraphicFramePr>
              <a:graphicFrameLocks noChangeAspect="1"/>
            </wp:cNvGraphicFramePr>
            <a:graphic>
              <a:graphicData uri="http://schemas.openxmlformats.org/drawingml/2006/picture">
                <pic:pic>
                  <pic:nvPicPr>
                    <pic:cNvPr id="0" name="A 31238-2026 karta.png"/>
                    <pic:cNvPicPr/>
                  </pic:nvPicPr>
                  <pic:blipFill>
                    <a:blip r:embed="rId16"/>
                    <a:stretch>
                      <a:fillRect/>
                    </a:stretch>
                  </pic:blipFill>
                  <pic:spPr>
                    <a:xfrm>
                      <a:off x="0" y="0"/>
                      <a:ext cx="5486400" cy="4499838"/>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6979182, E 494274 i SWEREF 99 TM.</w:t>
      </w:r>
    </w:p>
    <w:p>
      <w:r>
        <w:t>I och inom 4 meter från avverkningsanmälan finns fynd av 15 naturvårdsarter, varav 4 är rödlistade, 7 är fridlysta, 11 är typiska (T) och 2 är signalarter (S): garnlav (VU, T), knärot (VU, T, §8), talltita (NT, §4), tretåig hackspett (NT, T, §4), norrlandslav (S, T), svavelriska (S), blåsippa (T, §9), fönsterlav (T), grå renlav (T), kransmossa (T), linnea (T), nordisk stormhatt (T), tofsmes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52 fyndplatser för knärot registrerade på Artportalen. Figur 2 visar gränserna för buffertzoner på 50 m, som behöver lämnas kring fyndplatserna för att knärotslokalerna inte ska försvinna vid en avverkning. Av det avverkningsanmälda området överlappar 11.90 ha med buffertzonerna och får av detta skäl inte avverkas.</w:t>
      </w:r>
    </w:p>
    <w:p>
      <w:pPr>
        <w:pStyle w:val="Caption"/>
      </w:pPr>
      <w:r>
        <w:drawing>
          <wp:inline xmlns:a="http://schemas.openxmlformats.org/drawingml/2006/main" xmlns:pic="http://schemas.openxmlformats.org/drawingml/2006/picture">
            <wp:extent cx="5486400" cy="5724426"/>
            <wp:docPr id="2" name="Picture 2"/>
            <wp:cNvGraphicFramePr>
              <a:graphicFrameLocks noChangeAspect="1"/>
            </wp:cNvGraphicFramePr>
            <a:graphic>
              <a:graphicData uri="http://schemas.openxmlformats.org/drawingml/2006/picture">
                <pic:pic>
                  <pic:nvPicPr>
                    <pic:cNvPr id="0" name="A 31238-2026 karta knärot.png"/>
                    <pic:cNvPicPr/>
                  </pic:nvPicPr>
                  <pic:blipFill>
                    <a:blip r:embed="rId17"/>
                    <a:stretch>
                      <a:fillRect/>
                    </a:stretch>
                  </pic:blipFill>
                  <pic:spPr>
                    <a:xfrm>
                      <a:off x="0" y="0"/>
                      <a:ext cx="5486400" cy="57244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6979182, E 494274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r>
        <w:rPr>
          <w:b/>
        </w:rPr>
        <w:t>Grå renlav</w:t>
      </w:r>
      <w:r>
        <w:t xml:space="preserve"> är typisk art för </w:t>
      </w:r>
      <w:r>
        <w:rPr>
          <w:i/>
        </w:rPr>
        <w:t xml:space="preserve">9040 Fjällbjörkskog </w:t>
      </w:r>
      <w:r>
        <w:t xml:space="preserve">och </w:t>
      </w:r>
      <w:r>
        <w:rPr>
          <w:i/>
        </w:rPr>
        <w:t xml:space="preserve">4060 Alpina rishedar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