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blylav (EN), borsttagging (VU), knärot (VU, §8), kopparspindling (VU), läderdoftande fingersvamp (VU), rynkskinn (VU), smalskaftslav (VU), sprickporing (VU), tvillingspindling (VU), ulltickeporing (VU), barrviolspindling (NT), blå taggsvamp (NT), brunpudrad nållav (NT), doftskinn (NT), flattoppad klubbsvamp (NT), gammelgransskål (NT), garnlav (NT), granticka (NT), harticka (NT), järpe (NT, §4), kortskaftad ärgspik (NT), lunglav (NT), puderspindling (NT), rosenticka (NT), skrovellav (NT), talltita (NT, §4), tretåig hackspett (NT, §4), ullticka (NT), vedskivlav (NT), vedtrappmossa (NT), vitgrynig nållav (NT), äggvaxskivling (NT), bårdlav (S), diskvaxskivling (S), finbräken (S), fjällig taggsvamp s.str. (S), granriska (S), guckusko (S, §7), gytterlav (S), korallblylav (S), korallrot (S, §8), kransrams (S), kryddspindling (S), kärrkammossa (S), rödfläckig zontaggsvamp (S), rödgul trumpetsvamp (S), spindelblomster (S, §8), strimspindling (S), stuplav (S), svart trolldruva (S), svavelriska (S), tibast (S), tvåblad (S, §8), vedticka (S), ögonpyrola (S), brudsporre (§8), fläcknycklar (§8)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