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dokument behandlar höga naturvärden i avverkningsanmälan A 12285-2022 i Östersunds kommun som inkom 2022-03-17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9 naturvårdsarter hittats: finbräken (S, T), flugblomster (S, §8), gräsull (S), grönkulla (S, T, §8), tvåblad (S, §8), brudsporre (§8), dubbelnycklar (§8), fläcknycklar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7019382, E 496101 i SWEREF 99 TM.</w:t>
      </w:r>
    </w:p>
    <w:p>
      <w:pPr>
        <w:pStyle w:val="Heading2"/>
      </w:pPr>
      <w:r>
        <w:t>Fridlysta arter</w:t>
      </w:r>
    </w:p>
    <w:p>
      <w:r>
        <w:t>Följande fridlysta arter har sina livsmiljöer och växtplatser i den avverkningsanmälda skogen: flugblomster (S, §8), grönkulla (S, T, §8), tvåblad (S, §8), brudsporre (§8), dubbelnycklar (§8), fläcknycklar (§8) och vanliga ängsnycklar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