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57711-2025 i Östersunds kommun</w:t>
      </w:r>
    </w:p>
    <w:p>
      <w:r>
        <w:t>Detta dokument behandlar höga naturvärden i avverkningsanmälan A 57711-2025 i Östersunds kommun. Denna avverkningsanmälan inkom 2025-11-20 11:19:56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diskvaxskivling (S), fjällig taggsvamp s.str. (S), kransrams (S) och kryddspindling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5150"/>
            <wp:docPr id="1" name="Picture 1"/>
            <wp:cNvGraphicFramePr>
              <a:graphicFrameLocks noChangeAspect="1"/>
            </wp:cNvGraphicFramePr>
            <a:graphic>
              <a:graphicData uri="http://schemas.openxmlformats.org/drawingml/2006/picture">
                <pic:pic>
                  <pic:nvPicPr>
                    <pic:cNvPr id="0" name="A 57711-2025 karta.png"/>
                    <pic:cNvPicPr/>
                  </pic:nvPicPr>
                  <pic:blipFill>
                    <a:blip r:embed="rId16"/>
                    <a:stretch>
                      <a:fillRect/>
                    </a:stretch>
                  </pic:blipFill>
                  <pic:spPr>
                    <a:xfrm>
                      <a:off x="0" y="0"/>
                      <a:ext cx="5486400" cy="5665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7004651, E 485523 i SWEREF 99 TM.</w:t>
      </w:r>
    </w:p>
    <w:p>
      <w:r>
        <w:rPr>
          <w:b/>
        </w:rPr>
        <w:t>Kransrams</w:t>
      </w:r>
      <w:r>
        <w:t xml:space="preserve"> är typisk art för </w:t>
      </w:r>
      <w:r>
        <w:rPr>
          <w:i/>
        </w:rPr>
        <w:t xml:space="preserve">9020 Nordlig ädellövskog </w:t>
      </w:r>
      <w:r>
        <w:t>(SLU Artdatabanken, 2025).</w:t>
      </w:r>
    </w:p>
    <w:p>
      <w:r>
        <w:rPr>
          <w:b/>
        </w:rPr>
        <w:t>Kryddspindling</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Kryddspindling är typisk art för </w:t>
      </w:r>
      <w:r>
        <w:rPr>
          <w:i/>
        </w:rPr>
        <w:t xml:space="preserve">9050 Näringsrik granskog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