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10744-2024 i Östersunds kommun</w:t>
      </w:r>
    </w:p>
    <w:p>
      <w:r>
        <w:t>Detta dokument behandlar höga naturvärden i avverkningsanmälan A 10744-2024 i Östersunds kommun. Denna avverkningsanmälan inkom 2024-03-18 00:00:00 och omfattar 3,5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fjällfotad musseron (VU), gultoppig fingersvamp (NT), skuggviol (NT), fjällig taggsvamp s.str. (S), granriska (S), svart trolldruva (S), svavelriska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2076"/>
            <wp:docPr id="1" name="Picture 1"/>
            <wp:cNvGraphicFramePr>
              <a:graphicFrameLocks noChangeAspect="1"/>
            </wp:cNvGraphicFramePr>
            <a:graphic>
              <a:graphicData uri="http://schemas.openxmlformats.org/drawingml/2006/picture">
                <pic:pic>
                  <pic:nvPicPr>
                    <pic:cNvPr id="0" name="A 10744-2024 karta.png"/>
                    <pic:cNvPicPr/>
                  </pic:nvPicPr>
                  <pic:blipFill>
                    <a:blip r:embed="rId16"/>
                    <a:stretch>
                      <a:fillRect/>
                    </a:stretch>
                  </pic:blipFill>
                  <pic:spPr>
                    <a:xfrm>
                      <a:off x="0" y="0"/>
                      <a:ext cx="5486400" cy="49220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7017172, E 487307 i SWEREF 99 TM.</w:t>
      </w:r>
    </w:p>
    <w:p>
      <w:r>
        <w:rPr>
          <w:b/>
        </w:rPr>
        <w:t>Fjällfotad musseron (VU)</w:t>
      </w:r>
      <w:r>
        <w:t xml:space="preserve"> bildar mykorrhiza med gran i äldre barrskog på kalkrik mark. Arten är en god indikator på en skyddsvärd miljö och platser där den förekommer bör därför undantas från storskaligt skogsbruk (SLU Artdatabanken, 2024; Nitare &amp; Skogsstyrelsen, 2019).</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Skuggviol (NT)</w:t>
      </w:r>
      <w:r>
        <w:t xml:space="preserve"> förekommer från Värmland upp till Norrbotten och Torne lappmark. Den växer i örtrika hägg- eller gråalsdominerade lövlundar i fuktstråk nedanför sydbergsbranter, i raviner eller vid rikare partier längs åar och bäckar. Lokaler för skuggviol bör undantas från skogsbruk och vid avverkningar i närheten av skuggviolens biotoper är det viktigt att lämna stormfasta kantzoner. Dikningar som direkt eller indirekt påverkar dessa miljöer bör inte heller utföras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