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4967-2025 i Östersunds kommun</w:t>
      </w:r>
    </w:p>
    <w:p>
      <w:r>
        <w:t>Detta dokument behandlar höga naturvärden i avverkningsanmälan A 4967-2025 i Östersunds kommun. Denna avverkningsanmälan inkom 2025-02-02 00:00:00 och omfattar 26,9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33 naturvårdsarter hittats: bitter taggsvamp (VU), fjällfotad fingersvamp (VU), fjällfotad musseron (VU), kejsarskivling (VU), läderdoftande fingersvamp (VU), skäggvaxskivling (VU), taggfingersvamp (VU), blek fingersvamp (NT), blå taggsvamp (NT), dofttaggsvamp (NT), druvfingersvamp (NT), flattoppad klubbsvamp (NT), garnlav (NT), grantaggsvamp (NT), granticka (NT), gultoppig fingersvamp (NT), liten svartspik (NT), luddfingersvamp (NT), lunglav (NT), orange taggsvamp (NT), småflikig brosklav (NT), ullticka (NT), vitgrynig nållav (NT), äggvaxskivling (NT), brun klibbskivling (S), finbräken (S), fjällig taggsvamp s.str. (S), granriska (S), skinnlav (S), strimspindling (S), stuplav (S), svart trolldruva (S) och svavelriska (S). Av dessa är 24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083"/>
            <wp:docPr id="1" name="Picture 1"/>
            <wp:cNvGraphicFramePr>
              <a:graphicFrameLocks noChangeAspect="1"/>
            </wp:cNvGraphicFramePr>
            <a:graphic>
              <a:graphicData uri="http://schemas.openxmlformats.org/drawingml/2006/picture">
                <pic:pic>
                  <pic:nvPicPr>
                    <pic:cNvPr id="0" name="A 4967-2025 karta.png"/>
                    <pic:cNvPicPr/>
                  </pic:nvPicPr>
                  <pic:blipFill>
                    <a:blip r:embed="rId16"/>
                    <a:stretch>
                      <a:fillRect/>
                    </a:stretch>
                  </pic:blipFill>
                  <pic:spPr>
                    <a:xfrm>
                      <a:off x="0" y="0"/>
                      <a:ext cx="5486400" cy="3432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6991660, E 483675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Skäggvaxskivling (VU) </w:t>
      </w:r>
      <w:r>
        <w:t>bildar mykorrhiza med gran i äldre ängs- och blåbärsgranskog på kalkrik mark. De gamla, orörda skogarnas tillbakagång innebär att arten missgynnas och många växtplatser riskerar att utplånas av skogsbruksåtgärder. På lokaler med känd förekomst bör avverkning helt undvikas eller bedrivas i form av plockhuggning eller blädning. Arten bör eftersökas i äldre barrskog i Norrland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33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