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4967-2025 i Östersunds kommun</w:t>
      </w:r>
    </w:p>
    <w:p>
      <w:r>
        <w:t>Detta dokument behandlar höga naturvärden i avverkningsanmälan A 4967-2025 i Östersunds kommun. Denna avverkningsanmälan inkom 2025-02-02 00:00:00 och omfattar 26,9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33 naturvårdsarter hittats: bitter taggsvamp (VU), fjällfotad fingersvamp (VU), fjällfotad musseron (VU), kejsarskivling (VU), läderdoftande fingersvamp (VU), skäggvaxskivling (VU), taggfingersvamp (VU), blek fingersvamp (NT), blå taggsvamp (NT), dofttaggsvamp (NT), druvfingersvamp (NT), flattoppad klubbsvamp (NT), garnlav (NT), grantaggsvamp (NT), granticka (NT), gultoppig fingersvamp (NT), liten svartspik (NT), luddfingersvamp (NT), lunglav (NT), orange taggsvamp (NT), småflikig brosklav (NT), ullticka (NT), vitgrynig nållav (NT), äggvaxskivling (NT), brun klibbskivling (S), finbräken (S), fjällig taggsvamp s.str. (S), granriska (S), skinnlav (S), strimspindling (S), stuplav (S), svart trolldruva (S) och svavelriska (S). Av dessa är 24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083"/>
            <wp:docPr id="1" name="Picture 1"/>
            <wp:cNvGraphicFramePr>
              <a:graphicFrameLocks noChangeAspect="1"/>
            </wp:cNvGraphicFramePr>
            <a:graphic>
              <a:graphicData uri="http://schemas.openxmlformats.org/drawingml/2006/picture">
                <pic:pic>
                  <pic:nvPicPr>
                    <pic:cNvPr id="0" name="A 4967-2025 karta.png"/>
                    <pic:cNvPicPr/>
                  </pic:nvPicPr>
                  <pic:blipFill>
                    <a:blip r:embed="rId16"/>
                    <a:stretch>
                      <a:fillRect/>
                    </a:stretch>
                  </pic:blipFill>
                  <pic:spPr>
                    <a:xfrm>
                      <a:off x="0" y="0"/>
                      <a:ext cx="5486400" cy="3432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6991660, E 483675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 xml:space="preserve">Fjällfotad fingersvamp (VU) </w:t>
      </w:r>
      <w:r>
        <w:t>är en mycket sällsynt ”toppart” som</w:t>
      </w:r>
      <w:r>
        <w:rPr>
          <w:b/>
        </w:rPr>
        <w:t xml:space="preserve"> </w:t>
      </w:r>
      <w:r>
        <w:t>bildar mykorrhiza med gran i kalkbarrskog. Då arten förekommer i en produktiv skogsmiljö med långvarig trädkontinuitet bedöms svampens totala population ha minskat kraftigt under senare tid som följd av skogsbruksåtgärder. Samtliga växtplatser bör erhålla ett långsiktigt formellt skydd. Fjällfotad fingersvamp</w:t>
      </w:r>
      <w:r>
        <w:rPr>
          <w:b/>
        </w:rPr>
        <w:t xml:space="preserve"> </w:t>
      </w:r>
      <w:r>
        <w:t>är placerad högst upp i Skogsstyrelsens värdepyramid för bedömning av skog med höga naturvärden och globalt rödlistad som nära hotad (NT) vilket innebär att Sverige har ett internationellt ansvar för arten (SLU Artdatabanken, 2024; IUCN, 2019; Nitare &amp; Skogsstyrelsen, 2019).</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Kejsarskivling (VU)</w:t>
      </w:r>
      <w:r>
        <w:t xml:space="preserve"> bildar mykorrhiza med tall, ibland även med gran och växer huvudsakligen på kalkrik mark i barrskog, framförallt mossig gammal granskog med inslag av tall. Arten är placerad högst upp i Skogsstyrelsens värdepyramid för bedömning av skog med höga naturvärden och hotas av slutavverkning, markberedning och en generell minskning av andelen gamla träd i våra skogar. Kejsarskivlingen är globalt rödlistad som nära hotad (NT) vilket innebär att Sverige har ett internationellt ansvar för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Skäggvaxskivling (VU) </w:t>
      </w:r>
      <w:r>
        <w:t>bildar mykorrhiza med gran i äldre ängs- och blåbärsgranskog på kalkrik mark. De gamla, orörda skogarnas tillbakagång innebär att arten missgynnas och många växtplatser riskerar att utplånas av skogsbruksåtgärder. På lokaler med känd förekomst bör avverkning helt undvikas eller bedrivas i form av plockhuggning eller blädning. Arten bör eftersökas i äldre barrskog i Norrland (SLU Artdatabanken, 2024).</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33 naturvårdsarter varav 24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