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24368-2025 i Östersunds kommun</w:t>
      </w:r>
    </w:p>
    <w:p>
      <w:r>
        <w:t>Detta dokument behandlar höga naturvärden i avverkningsanmälan A 24368-2025 i Östersunds kommun. Denna avverkningsanmälan inkom 2025-05-20 14:32:59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fjällfotad fingersvamp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8652"/>
            <wp:docPr id="1" name="Picture 1"/>
            <wp:cNvGraphicFramePr>
              <a:graphicFrameLocks noChangeAspect="1"/>
            </wp:cNvGraphicFramePr>
            <a:graphic>
              <a:graphicData uri="http://schemas.openxmlformats.org/drawingml/2006/picture">
                <pic:pic>
                  <pic:nvPicPr>
                    <pic:cNvPr id="0" name="A 24368-2025 karta.png"/>
                    <pic:cNvPicPr/>
                  </pic:nvPicPr>
                  <pic:blipFill>
                    <a:blip r:embed="rId16"/>
                    <a:stretch>
                      <a:fillRect/>
                    </a:stretch>
                  </pic:blipFill>
                  <pic:spPr>
                    <a:xfrm>
                      <a:off x="0" y="0"/>
                      <a:ext cx="5486400" cy="3328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6997162, E 486209 i SWEREF 99 TM.</w:t>
      </w:r>
    </w:p>
    <w:p>
      <w:r>
        <w:rPr>
          <w:b/>
        </w:rPr>
        <w:t xml:space="preserve">Fjällfotad fingersvamp (VU) </w:t>
      </w:r>
      <w:r>
        <w:t>är en mycket sällsynt ”toppart” som</w:t>
      </w:r>
      <w:r>
        <w:rPr>
          <w:b/>
        </w:rPr>
        <w:t xml:space="preserve"> </w:t>
      </w:r>
      <w:r>
        <w:t>bildar mykorrhiza med gran i kalkbarrskog. Då arten förekommer i en produktiv skogsmiljö med långvarig trädkontinuitet bedöms svampens totala population ha minskat kraftigt under senare tid som följd av skogsbruksåtgärder. Samtliga växtplatser bör erhålla ett långsiktigt formellt skydd. Fjällfotad fingersvamp</w:t>
      </w:r>
      <w:r>
        <w:rPr>
          <w:b/>
        </w:rPr>
        <w:t xml:space="preserve"> </w:t>
      </w:r>
      <w:r>
        <w:t>är placerad högst upp i Skogsstyrelsens värdepyramid för bedömning av skog med höga naturvärden och globalt rödlistad som nära hotad (NT) vilket innebär att Sverige har ett internationellt ansvar för arten (SLU Artdatabanken, 2024; IUCN, 2019;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