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avverkningsanmälan A 29992-2023 i Östersunds kommun. Denna avverkningsanmälan inkom 2023-07-02 00:00:00 och omfattar 93,3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90 naturvårdsarter hittats: bitter taggsvamp (VU), blyspindling agg. (VU), blåfotad fagerspindling (VU), borsttagging (VU), doftmusseron (VU), fjällfotad musseron (VU), granrotsspindling (VU), klotsporig murkla (VU), knärot (VU, §8), kopparspindling (VU), läderdoftande fingersvamp (VU), läderlappslav (VU), rynkskinn (VU), siljansspindling (VU), smalskaftslav (VU), sprickporing (VU), tvillingspindling (VU), ulltickeporing (VU), barrviolspindling (NT), blå taggsvamp (NT), brunpudrad nållav (NT), doftskinn (NT), flattoppad klubbsvamp (NT), gammelgransskål (NT), garnlav (NT), grantaggsvamp (NT), granticka (NT), gultoppig fingersvamp (NT), harticka (NT), järpe (NT, §4), kortskaftad ärgspik (NT), liten svartspik (NT), lunglav (NT), nordlig nållav (NT), orange taggsvamp (NT), puderspindling (NT), rosenticka (NT), rödbrun klubbdyna (NT), skogsfru (NT, §8), skrovellav (NT), stjärntagging (NT), svartvit taggsvamp (NT), talltita (NT, §4), tretåig hackspett (NT, §4), ullticka (NT), vedflamlav (NT), vedskivlav (NT), vedtrappmossa (NT), vitgrynig nållav (NT), vitskaftad svartspik (NT), äggvaxskivling (NT), barkkornlav (S), barkticka (S), barrfagerspindling (S), brun klibbskivling (S), bårdlav (S), diskvaxskivling (S), droppklibbskivling (S), finbräken (S), fjällig taggsvamp s.str. (S), granriska (S), grönkulla (S, §8), guckusko (S, §7), gytterlav (S), kamjordstjärna (S), korallblylav (S), korallrot (S, §8), kransrams (S), kryddspindling (S), kärrkammossa (S), norrlandslav (S), rostfläck (S), rödfläckig zontaggsvamp (S), rödgul trumpetsvamp (S), rökmusseron (S), skarp dropptaggsvamp (S), spindelblomster (S, §8), strimspindling (S), stuplav (S), svart trolldruva (S), svavelriska (S), tibast (S), trådticka (S), tvåblad (S, §8), vedticka (S), ögonpyrola (S), tjäder (§4), brudsporre (§8), fläcknycklar (§8) och blåsippa (§9). Av dessa är 51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19479"/>
            <wp:docPr id="1" name="Picture 1"/>
            <wp:cNvGraphicFramePr>
              <a:graphicFrameLocks noChangeAspect="1"/>
            </wp:cNvGraphicFramePr>
            <a:graphic>
              <a:graphicData uri="http://schemas.openxmlformats.org/drawingml/2006/picture">
                <pic:pic>
                  <pic:nvPicPr>
                    <pic:cNvPr id="0" name="A 29992-2023 karta.png"/>
                    <pic:cNvPicPr/>
                  </pic:nvPicPr>
                  <pic:blipFill>
                    <a:blip r:embed="rId16"/>
                    <a:stretch>
                      <a:fillRect/>
                    </a:stretch>
                  </pic:blipFill>
                  <pic:spPr>
                    <a:xfrm>
                      <a:off x="0" y="0"/>
                      <a:ext cx="5486400" cy="38194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Bitter taggsvamp (VU) </w:t>
      </w:r>
      <w:r>
        <w:t>är en sällsynt ”toppart” som huvudsakligen förekommer på rik mark i gamla barrskogar med långvarig kontinuitet. Svampen har i friskt tillstånd en säregen doft av bittermandelolja och fruktköttet är mycket bittert i smaken. Arten ingår i ett åtgärdsprogram för hotade arter (ÅGP) och är placerad högst upp i Skogsstyrelsens värdepyramid för bedömning av skog med höga naturvärden. Arten missgynnas av skogsbruk och eftersom den huvudsakligen växer i äldre barrskog hotas flera växtplatser av slutavverkning. Fler områden med äldre barskog på kalkrik mark bör skyddas och helt undantas från skogsbruk (SLU Artdatabanken, 2024; Nitare &amp; Skogsstyrelsen, 2019).</w:t>
      </w:r>
    </w:p>
    <w:p>
      <w:r>
        <w:rPr>
          <w:b/>
        </w:rPr>
        <w:t xml:space="preserve">Blåfotad fagerspindling (VU) </w:t>
      </w:r>
      <w:r>
        <w:t>bildar mykorrhiza med barrträd och växer enbart i örtrika äldre grandominerade kalkbarrskogar med lång kontinuitet och hög bonitet, miljöer som idag är starkt hotade av slutavverkningar.</w:t>
      </w:r>
      <w:r>
        <w:rPr>
          <w:b/>
        </w:rPr>
        <w:t xml:space="preserve"> </w:t>
      </w:r>
      <w:r>
        <w:t>Arten är placerad högst upp i Skogsstyrelsens värdepyramid för bedömning av skog med höga naturvärden och är liksom en lång rad följearter knutna till kalkrika barrblandskogar med lång kontinuitet beroende av områdesskydd eller naturvårdsavtal som förhindrar slutavverkningar av dess växtmiljöer (SLU Artdatabanken, 2024;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Doftmusseron (VU)</w:t>
      </w:r>
      <w:r>
        <w:t xml:space="preserve"> bildar mykorrhiza med gran i äldre barrskog på moss- och kalkrik mark, gärna med gran på kalktallhed. Svampen avger en parfymliknande, sötaktig-fruktartad doft. Arten hotas av alla former av skogsbruksåtgärder, såsom slutavverkning, röjning, gallring, skogsmarksgödsling och körning med traktorer och skogsmaskiner. Arten är troligen uttorkningskänslig och kräver växtplatser med ett kontinuerligt fuktigt mikroklimat. Även slutavverkning eller kraftig gallring i intilliggande skog kan därför vara ett hot om det medför ökad genomblåsning och uttorkning. Skogsområden med arten bör skyddas och undantas från alla skogsbruksåtgärder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Droppklibbskivling</w:t>
      </w:r>
      <w:r>
        <w:t xml:space="preserve"> signalerar örtrika kalkbarrskogar med höga naturvärden. Svampen är mycket kräsen i sina ståndortskrav och den utgör en bra signalart även när den förekommer i olika lövskogsmiljöer. På artens växtplatser påträffas normalt många andra sällsynta eller rödlistade arter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Siljansspindling (VU)</w:t>
      </w:r>
      <w:r>
        <w:t>, som bildar mykorrhiza med gran, möjligen också tall, i kalkbarrskog, är huvudsakligen knuten till äldre skog på kalkrik mark. Arten är placerad högst upp i Skogsstyrelsens värdepyramid för bedömning av skog med höga naturvärden och lokaler där arten finns bör undantas från skogsbruk. Den svenska och norska populationen utgör artens kärnområde i ett europeiskt perspektiv och arten är även globalt rödlistad som sårbar (VU) vilket innebär att Sverige har ett särskilt bevarandeansvar för arten (SLU Artdatabanken, 2024; Nitare &amp; Skogsstyrelsen, 2019; IUCN,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järpe (NT, §4), skogsfru (NT, §8), talltita (NT, §4), tretåig hackspett (NT, §4), grönkulla (S, §8), guckusko (S, §7), korallrot (S, §8), spindelblomster (S, §8), tvåblad (S, §8), tjäder (§4), brudsporre (§8),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2.94 ha med buffertzonerna och får av detta skäl inte avverkas.</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 karta knärot.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7034358, E 478226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