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3410-2022 i Östersunds kommun</w:t>
      </w:r>
    </w:p>
    <w:p>
      <w:r>
        <w:t>Detta dokument behandlar höga naturvärden i avverkningsanmälan A 3410-2022 i Östersunds kommun. Denna avverkningsanmälan inkom 2022-01-24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43 naturvårdsarter hittats: brandtaggsvamp (VU), fjällfotad musseron (VU), gul lammticka (VU), gyllenspindling (VU), kopparspindling (VU), läderdoftande fingersvamp (VU), rotfingersvamp (VU), sammetstaggsvamp (VU), siljansspindling (VU), stor odörspindling (VU), taggfingersvamp (VU), tvillingspindling (VU), barrviolspindling (NT), blå taggsvamp (NT), dofttaggsvamp (NT), flattoppad klubbsvamp (NT), grantaggsvamp (NT), gul taggsvamp (NT), gultoppig fingersvamp (NT), lunglav (NT), orange taggsvamp (NT), persiljespindling (NT), rödbrun klubbdyna (NT), svart taggsvamp (NT), äggvaxskivling (NT), blå slemspindling (S), brun klibbskivling (S), diskvaxskivling (S), droppklibbskivling (S), fjällig taggsvamp s.str. (S), grönkulla (S, §8), guldkremla (S), kransrams (S), kryddspindling (S), strimspindling (S), svart trolldruva (S), svavelriska (S), tibast (S), trådticka (S), underviol (S), vårärt (S), zontaggsvamp (S) och blåsippa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410-2022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Brandtaggsvamp (VU) </w:t>
      </w:r>
      <w:r>
        <w:t>är en sällsynt art knuten till barrskogar på starkt kalkrik mark. Arten är placerad högst upp i Skogsstyrelsens värdepyramid för bedömning av skog med höga naturvärden och hotas främst av avverkning av kalkpåverkad barrskog. Äldre skog på kalkrik mark har ofta en rik flora av hotade svampar och är därför synnerligen skyddsvärda. Det är önskvärt att många, även små, områden med sådan kalkbarrskog skyddas i södra och mellersta Sverige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Siljansspindling (VU)</w:t>
      </w:r>
      <w:r>
        <w:t>, som bildar mykorrhiza med gran, möjligen också tall, i kalkbarrskog, är huvudsakligen knuten till äldre skog på kalkrik mark. Arten är placerad högst upp i Skogsstyrelsens värdepyramid för bedömning av skog med höga naturvärden och lokaler där arten finns bör undantas från skogsbruk. Den svenska och norska populationen utgör artens kärnområde i ett europeiskt perspektiv och arten är även globalt rödlistad som sårbar (VU) vilket innebär att Sverige har ett särskilt bevarandeansvar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grönkulla (S, §8) och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