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38334-2023 i Östersunds kommun</w:t>
      </w:r>
    </w:p>
    <w:p>
      <w:r>
        <w:t>Detta dokument behandlar höga naturvärden i avverkningsanmälan A 38334-2023 i Östersunds kommun. Denna avverkningsanmälan inkom 2023-08-23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violett fingersvamp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38334-2023 karta.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7036852, E 501355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Violett fingersvamp (VU) </w:t>
      </w:r>
      <w:r>
        <w:t>har ett okänt levnadssätt och växer i örtrika och magra betesmarker, hackslåttängar och örtbackar samt i park- och örtrika skogsmiljöer. Ett extensivt bete av gles skogsmark och av mosaikartade trädklädda miljöer med omväxlande gräs-/örtrika gläntor där arten förekommer är mycket gynnsamt och bör eftersträvas. Skogsmiljöer av den typ arten trivs i har ofta ett stort skyddsvärde och eventuellt skogsbruk måste på dessa platser bedrivas skonsamt. Violett fingersvamp</w:t>
      </w:r>
      <w:r>
        <w:rPr>
          <w:b/>
        </w:rPr>
        <w:t xml:space="preserve"> </w:t>
      </w:r>
      <w:r>
        <w:t>är globalt rödlistad som sårbar (VU) vilket innebär att Sverige har ett internationellt ansvar för arten (SLU Artdatabanken, 2024;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