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64380-2023 i Östersunds kommun</w:t>
      </w:r>
    </w:p>
    <w:p>
      <w:r>
        <w:t>Detta dokument behandlar höga naturvärden i avverkningsanmälan A 64380-2023 i Östersunds kommun. Denna avverkningsanmälan inkom 2023-12-20 13:32:54 och omfattar 12,4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luddfingersvamp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6000"/>
            <wp:docPr id="1" name="Picture 1"/>
            <wp:cNvGraphicFramePr>
              <a:graphicFrameLocks noChangeAspect="1"/>
            </wp:cNvGraphicFramePr>
            <a:graphic>
              <a:graphicData uri="http://schemas.openxmlformats.org/drawingml/2006/picture">
                <pic:pic>
                  <pic:nvPicPr>
                    <pic:cNvPr id="0" name="A 64380-2023 karta.png"/>
                    <pic:cNvPicPr/>
                  </pic:nvPicPr>
                  <pic:blipFill>
                    <a:blip r:embed="rId16"/>
                    <a:stretch>
                      <a:fillRect/>
                    </a:stretch>
                  </pic:blipFill>
                  <pic:spPr>
                    <a:xfrm>
                      <a:off x="0" y="0"/>
                      <a:ext cx="5486400" cy="4016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7021158, E 510264 i SWEREF 99 TM.</w:t>
      </w:r>
    </w:p>
    <w:p>
      <w:r>
        <w:rPr>
          <w:b/>
        </w:rPr>
        <w:t>Luddfingersvamp (NT)</w:t>
      </w:r>
      <w:r>
        <w:t xml:space="preserve"> påträffas på mineralrik mark i granskog med mycket hög luftfuktighet, t.ex. vid källflöden, fuktdråg, bäckar eller i anslutning till vattenfall och forsdimma. Arten är mycket uttorkningskänslig och kräver granskogsmiljöer med konstant mycket hög luftfuktighet. Den tål inte en slutavverkning eller någon form av dränering som påverkar växtplatsens hydrologi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