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27907-2024 i Östersunds kommun</w:t>
      </w:r>
    </w:p>
    <w:p>
      <w:r>
        <w:t>Detta klagomål behandlar höga naturvärden i avverkningsanmälan A 27907-2024 i Östersunds kommun som inkom 2024-07-02 och omfattar 12,7 ha.</w:t>
      </w:r>
    </w:p>
    <w:p>
      <w:pPr>
        <w:pStyle w:val="Caption"/>
      </w:pPr>
      <w:r>
        <w:drawing>
          <wp:inline xmlns:a="http://schemas.openxmlformats.org/drawingml/2006/main" xmlns:pic="http://schemas.openxmlformats.org/drawingml/2006/picture">
            <wp:extent cx="5486400" cy="5104036"/>
            <wp:docPr id="1" name="Picture 1"/>
            <wp:cNvGraphicFramePr>
              <a:graphicFrameLocks noChangeAspect="1"/>
            </wp:cNvGraphicFramePr>
            <a:graphic>
              <a:graphicData uri="http://schemas.openxmlformats.org/drawingml/2006/picture">
                <pic:pic>
                  <pic:nvPicPr>
                    <pic:cNvPr id="0" name="A 27907-2024 karta.png"/>
                    <pic:cNvPicPr/>
                  </pic:nvPicPr>
                  <pic:blipFill>
                    <a:blip r:embed="rId16"/>
                    <a:stretch>
                      <a:fillRect/>
                    </a:stretch>
                  </pic:blipFill>
                  <pic:spPr>
                    <a:xfrm>
                      <a:off x="0" y="0"/>
                      <a:ext cx="5486400" cy="510403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7003153, E 509223 i SWEREF 99 TM.</w:t>
      </w:r>
    </w:p>
    <w:p>
      <w:r>
        <w:t>I och inom 21 meter från avverkningsanmälan finns fynd av 10 naturvårdsarter, varav 10 är rödlistade, 1 är fridlyst och 6 är typiska (T): goliatmusseron (VU, T), jättemusseron (VU), skrovlig taggsvamp (VU), blå taggsvamp (NT, T), dropptaggsvamp (NT, T), dvärgbägarlav (NT, T), orange taggsvamp (NT, T), skarp dropptaggsvamp (NT), tretåig hackspett (NT, T, §4)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Jättemusseron (VU)</w:t>
      </w:r>
      <w:r>
        <w:t xml:space="preserve"> bildar mykorrhiza med tall, i äldre lavtallskog och hällmarkstallskog. Den visar på såväl sandtallskogar som hällmarkstallskogar med långvarig tallkontinuitet och svampen är sannolikt en kvarleva (relikt) på sina samtliga växtplatser. Arten är placerad högst upp i Skogsstyrelsens värdepyramid för bedömning av skog med höga naturvärden och slutavverkning bör tills vidare undvikas i skogsbestånd där arten är känd. Jättemusseron är globalt rödlistad som sårbar (VU) och Sverige och Norge har sannolikt merparten av den europeiska populationen och därmed ett särskilt ansvar för dess bevarande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