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50126-2024 i Östersunds kommun</w:t>
      </w:r>
    </w:p>
    <w:p>
      <w:r>
        <w:t>Detta klagomål behandlar höga naturvärden i avverkningsanmälan A 50126-2024 i Östersunds kommun som inkom 2024-11-04 och omfattar 2,6 ha.</w:t>
      </w:r>
    </w:p>
    <w:p>
      <w:pPr>
        <w:pStyle w:val="Caption"/>
      </w:pPr>
      <w:r>
        <w:drawing>
          <wp:inline xmlns:a="http://schemas.openxmlformats.org/drawingml/2006/main" xmlns:pic="http://schemas.openxmlformats.org/drawingml/2006/picture">
            <wp:extent cx="5486400" cy="4941326"/>
            <wp:docPr id="1" name="Picture 1"/>
            <wp:cNvGraphicFramePr>
              <a:graphicFrameLocks noChangeAspect="1"/>
            </wp:cNvGraphicFramePr>
            <a:graphic>
              <a:graphicData uri="http://schemas.openxmlformats.org/drawingml/2006/picture">
                <pic:pic>
                  <pic:nvPicPr>
                    <pic:cNvPr id="0" name="A 50126-2024 karta.png"/>
                    <pic:cNvPicPr/>
                  </pic:nvPicPr>
                  <pic:blipFill>
                    <a:blip r:embed="rId16"/>
                    <a:stretch>
                      <a:fillRect/>
                    </a:stretch>
                  </pic:blipFill>
                  <pic:spPr>
                    <a:xfrm>
                      <a:off x="0" y="0"/>
                      <a:ext cx="5486400" cy="4941326"/>
                    </a:xfrm>
                    <a:prstGeom prst="rect"/>
                  </pic:spPr>
                </pic:pic>
              </a:graphicData>
            </a:graphic>
          </wp:inline>
        </w:drawing>
      </w:r>
    </w:p>
    <w:p>
      <w:pPr>
        <w:pStyle w:val="Caption"/>
        <w:spacing w:after="240"/>
      </w:pPr>
      <w:r>
        <w:t>Figur 1. Fyndplatser för naturvårdsarter i och inom 12 meter från avverkningsanmälan. Markörer utan svart kant är placerade på fyndplatsen. Markörer med svart kant är placerade vid sidan av fyndplatsen och har ett svart streck som visar fyndplatsens exakta position. Kartans mittpunktskoordinat är N 7001746, E 510405 i SWEREF 99 TM.</w:t>
      </w:r>
    </w:p>
    <w:p>
      <w:r>
        <w:t>I och inom 12 meter från avverkningsanmälan finns fynd av 21 naturvårdsarter, varav 16 är rödlistade, 5 är fridlysta, 18 är typiska (T) och 4 är signalarter (S): doftticka (VU, T, §8), garnlav (VU, T), gräddporing (VU, T), gränsticka (VU, T), knärot (VU, T, §8), sprickporing (VU), dropptaggsvamp (NT, T), kolflarnlav (NT, T), lunglav (NT, T), rosenticka (NT, T), skrovellav (NT, T), talltita (NT, §4), tretåig hackspett (NT, T, §4), ullticka (NT, T), vedtrappmossa (NT, T), vitgrynig nållav (NT), luddlav (S, T), skinnlav (S, T), stuplav (S, T), vedticka (S, T)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och är typisk art för </w:t>
      </w:r>
      <w:r>
        <w:rPr>
          <w:i/>
        </w:rPr>
        <w:t>9010 Taiga</w:t>
      </w:r>
      <w:r>
        <w:t xml:space="preserve"> och</w:t>
      </w:r>
      <w:r>
        <w:rPr>
          <w:i/>
        </w:rPr>
        <w:t xml:space="preserve"> 9050 Näringsrik granskog </w:t>
      </w:r>
      <w:r>
        <w:t>(IUCN Redlist, 2024; Nitare &amp; Skogsstyrelsen, 2019; SLU Artdatabanken, 2024).</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4 fyndplatser för knärot registrerade på Artportalen. Figur 2 visar gränserna för buffertzoner på 50 m, som behöver lämnas kring fyndplatserna för att knärotslokalerna inte ska försvinna vid en avverkning. Av det avverkningsanmälda området överlappar 1.45 ha med buffertzonerna och får av detta skäl inte avverkas.</w:t>
      </w:r>
    </w:p>
    <w:p>
      <w:pPr>
        <w:pStyle w:val="Caption"/>
      </w:pPr>
      <w:r>
        <w:drawing>
          <wp:inline xmlns:a="http://schemas.openxmlformats.org/drawingml/2006/main" xmlns:pic="http://schemas.openxmlformats.org/drawingml/2006/picture">
            <wp:extent cx="5486400" cy="6455893"/>
            <wp:docPr id="2" name="Picture 2"/>
            <wp:cNvGraphicFramePr>
              <a:graphicFrameLocks noChangeAspect="1"/>
            </wp:cNvGraphicFramePr>
            <a:graphic>
              <a:graphicData uri="http://schemas.openxmlformats.org/drawingml/2006/picture">
                <pic:pic>
                  <pic:nvPicPr>
                    <pic:cNvPr id="0" name="A 50126-2024 karta knärot.png"/>
                    <pic:cNvPicPr/>
                  </pic:nvPicPr>
                  <pic:blipFill>
                    <a:blip r:embed="rId17"/>
                    <a:stretch>
                      <a:fillRect/>
                    </a:stretch>
                  </pic:blipFill>
                  <pic:spPr>
                    <a:xfrm>
                      <a:off x="0" y="0"/>
                      <a:ext cx="5486400" cy="6455893"/>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7001746, E 510405 i SWEREF 99 TM.</w:t>
      </w:r>
    </w:p>
    <w:p>
      <w:r>
        <w:rPr>
          <w:b/>
        </w:rPr>
        <w:t>Sprickporing (VU)</w:t>
      </w:r>
      <w:r>
        <w:t>, rödlistad som sårbar, är en sällsynt art som växer på senvuxen gran i lågproduktiva miljöer, ett substrat som nybildas i mycket liten skala i modern produktionsskog. Arten bedöms ha minskat kraftigt, med mer än 30 % över de senaste 20 åren, huvudsakligen på grund av slutavverkningar. I bestånd där arten förekommer måste skogsbruk undvikas. Fler av artens lokaler bör skyddas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20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21 naturvårdsarter varav 16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