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4916-2023 i Östersunds kommun</w:t>
      </w:r>
    </w:p>
    <w:p>
      <w:r>
        <w:t>Detta klagomål behandlar höga naturvärden i avverkningsanmälan A 4916-2023 i Östersunds kommun som inkom 2023-01-30 och omfattar 1,2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A 4916-2023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6997317, E 483138 i SWEREF 99 TM.</w:t>
      </w:r>
    </w:p>
    <w:p>
      <w:r>
        <w:t>I avverkningsanmälan finns fynd av 2 naturvårdsarter, varav 1 är rödlistad, 1 är typisk (T) och 1 är signalart (S): trolldruvemätare (EN)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Trolldruvemätare (EN)</w:t>
      </w:r>
      <w:r>
        <w:t xml:space="preserve"> är rödlistad som starkt hotad och omfattas av åtgärdsprogram för hotade arter (ÅGP). Enligt Artdatabankens artfaktablad om arten bör skogar med värdväxten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I en dom från 2026-06-04 slår mark- och miljööverdomstolen (MÖD) fast att den kontinuerliga ekologiska funktionen (KEF) för trolldruvemätaren och dess livsmiljöer ska upprätthållas, se MÖD M 10697-25 (SLU Artdatabanken, 2026).</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Trolldruvemätare – ekologi samt krav på livsmiljön</w:t>
      </w:r>
    </w:p>
    <w:p>
      <w:r>
        <w:t>Trolldruvemätare (EN), rödlistad som starkt hotad, omfattas av åtgärdsprogram för hotade arter (ÅGP)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2026).</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2026).</w:t>
      </w:r>
    </w:p>
    <w:p>
      <w:r>
        <w:t>I en dom från 2026-06-04 slår mark- och miljööverdomstolen (MÖD) fast att den kontinuerliga ekologiska funktionen (KEF) för trolldruvemätaren och dess livsmiljöer ska upprätthållas, se MÖD M 10697-25.</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r>
        <w:rPr>
          <w:i/>
        </w:rPr>
        <w:t>1. Vad kan sägas om trolldruvemätarens uppträdande och hotsituation i Norden och i Sverige generellt och dess orsaker?</w:t>
      </w:r>
    </w:p>
    <w:p>
      <w:r>
        <w:rPr>
          <w:i/>
        </w:rPr>
        <w:t>2. 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