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29992-2023 i Östersunds kommun</w:t>
      </w:r>
    </w:p>
    <w:p>
      <w:r>
        <w:t>Denna tillsynsbegäran behandlar höga naturvärden i avverkningsanmälan A 29992-2023 i Östersunds kommun som inkom 2023-07-02 och omfattar 93,3 ha.</w:t>
      </w:r>
    </w:p>
    <w:p>
      <w:pPr>
        <w:pStyle w:val="Caption"/>
      </w:pPr>
      <w:r>
        <w:drawing>
          <wp:inline xmlns:a="http://schemas.openxmlformats.org/drawingml/2006/main" xmlns:pic="http://schemas.openxmlformats.org/drawingml/2006/picture">
            <wp:extent cx="5486400" cy="4626708"/>
            <wp:docPr id="1" name="Picture 1"/>
            <wp:cNvGraphicFramePr>
              <a:graphicFrameLocks noChangeAspect="1"/>
            </wp:cNvGraphicFramePr>
            <a:graphic>
              <a:graphicData uri="http://schemas.openxmlformats.org/drawingml/2006/picture">
                <pic:pic>
                  <pic:nvPicPr>
                    <pic:cNvPr id="0" name="A 29992-2023 karta.png"/>
                    <pic:cNvPicPr/>
                  </pic:nvPicPr>
                  <pic:blipFill>
                    <a:blip r:embed="rId16"/>
                    <a:stretch>
                      <a:fillRect/>
                    </a:stretch>
                  </pic:blipFill>
                  <pic:spPr>
                    <a:xfrm>
                      <a:off x="0" y="0"/>
                      <a:ext cx="5486400" cy="46267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7034358, E 478226 i SWEREF 99 TM.</w:t>
      </w:r>
    </w:p>
    <w:p>
      <w:r>
        <w:t>I och inom 21 meter från avverkningsanmälan finns fynd av 95 naturvårdsarter, varav 55 är rödlistade, 17 är fridlysta, 45 är typiska (T) och 33 är signalarter (S): bitter taggsvamp (EN), blyspindling (EN), doftmusseron (EN), siljansspindling (EN), blåfotad fagerspindling (VU), borsttagging (VU), fjällfotad musseron (VU), garnlav (VU, T), granrotspindling (VU), knärot (VU, T, §8), kopparspindling (VU), läderdoftande fingersvamp (VU), läderlappslav (VU, T), smalskaftslav (VU), sprickporing (VU), tvillingspindling (VU), ulltickeporing (VU), vitskaftad svartspik (VU, T), barrfagerspindling (NT), barrviolspindling (NT), blå taggsvamp (NT, T), brunpudrad nållav (NT, T), doftskinn (NT, T), fjällig taggsvamp s.str. (NT), flattoppad klubbsvamp (NT), gammelgransskål (NT, T), grantaggsvamp (NT), gultoppig fingersvamp (NT), harticka (NT, T), klotsporig murkla (NT), kortskaftad ärgspik (NT), kryddspindling (NT, T), kötticka (NT), liten svartspik (NT), lunglav (NT, T), orange taggsvamp (NT, T), puderspindling (NT), rosenticka (NT, T), rynkskinn (NT, T), rödbrun klubbdyna (NT), rödfläckig zontaggsvamp (NT), skarp dropptaggsvamp (NT), skogsfru (NT, §8), skrovellav (NT, T), sotvaxskivling (NT), stjärntagging (NT, T), svartvit taggsvamp (NT), talltita (NT, §4), tretåig hackspett (NT, T, §4), ullticka (NT, T), vedflamlav (NT), vedskivlav (NT, T), vedtrappmossa (NT, T), vitgrynig nållav (NT), äggvaxskivling (NT), barkkornlav (S, T), barkticka (S, T), brun klibbskivling (S), bårdlav (S, T), diskvaxskivling (S), droppklibbskivling (S), finbräken (S, T), granriska (S), grönkulla (S, T, §8), guckusko (S, T, §7), gytterlav (S, T), kamjordstjärna (S), korallblylav (S, T), korallrot (S, T, §8), kransrams (S, T), kärrkammossa (S, T), luddlav (S, T), norrlandslav (S, T), plattlummer (S, T, §9), rostfläck (S, T), rödgul trumpetsvamp (S), rökmusseron (S), spindelblomster (S, T, §8), strimspindling (S), stuplav (S, T), svart trolldruva (S, T), svavelriska (S), tibast (S, T), trådticka (S, T), tvåblad (S, §8), vedticka (S, T), zontaggsvamp (S), ögonpyrola (S, T), blåsippa (T, §9), järpe (T, §4), tjäder (T, §4), brudsporre (§8), dubbelnycklar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Doftmusseron (EN)</w:t>
      </w:r>
      <w:r>
        <w:t xml:space="preserve"> är en starkt hotad art som bildar mykorrhiza med gran i äldre barrskog på moss- och kalkrik mark, gärna med gran på kalktallhed. Svampen avger en parfymliknande, sötaktig-fruktartad doft. Arten hotas av alla former av skogsbruksåtgärder, såsom slutavverkning, röjning, gallring, skogsmarksgödsling och körning med traktorer och skogsmaskiner. Arten är troligen uttorkningskänslig och kräver växtplatser med ett kontinuerligt fuktigt mikroklimat. Även slutavverkning eller kraftig gallring i intilliggande skog kan därför vara ett hot om det medför ökad genomblåsning och uttorkning. Skogsområden med arten bör skyddas och undantas från alla skogsbruksåtgärder (SLU Artdatabanken, 2026).</w:t>
      </w:r>
    </w:p>
    <w:p>
      <w:r>
        <w:rPr>
          <w:b/>
        </w:rPr>
        <w:t>Siljansspindling (EN)</w:t>
      </w:r>
      <w:r>
        <w:t xml:space="preserve"> är en starkt hotad art som bildar mykorrhiza med gran, möjligen också tall, i kalkbarrskog. Den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2026; Nitare &amp; Skogsstyrelsen, 2019; IUCN, 2019).</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8043035"/>
            <wp:docPr id="2" name="Picture 2"/>
            <wp:cNvGraphicFramePr>
              <a:graphicFrameLocks noChangeAspect="1"/>
            </wp:cNvGraphicFramePr>
            <a:graphic>
              <a:graphicData uri="http://schemas.openxmlformats.org/drawingml/2006/picture">
                <pic:pic>
                  <pic:nvPicPr>
                    <pic:cNvPr id="0" name="A 29992-2023 karta knärot.png"/>
                    <pic:cNvPicPr/>
                  </pic:nvPicPr>
                  <pic:blipFill>
                    <a:blip r:embed="rId17"/>
                    <a:stretch>
                      <a:fillRect/>
                    </a:stretch>
                  </pic:blipFill>
                  <pic:spPr>
                    <a:xfrm>
                      <a:off x="0" y="0"/>
                      <a:ext cx="5486400" cy="8043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7034358, E 478226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Klotsporig murkla (NT) </w:t>
      </w:r>
      <w:r>
        <w:t>lever som nedbrytare på mossbeklädda granlågor och ved som ligger dold i marken, främst i granskog men även sporadiskt på soptippar och brädgårdar. Den är lätt att känna igen, tydligt sällsynt och har en liten population i landet. Förstörelse av artens växtplatser, t.ex. genom avverkning, hotar arten. Klotsporig murkla</w:t>
      </w:r>
      <w:r>
        <w:rPr>
          <w:b/>
        </w:rPr>
        <w:t xml:space="preserve"> </w:t>
      </w:r>
      <w:r>
        <w:t>är globalt rödlistad som nära hotad (NT) vilket innebär att Sverige har ett internationellt ansvar för arten (SLU Artdatabanken, 2026; IUCN,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läderlappslav (VU, T), vitskaftad svartspik (VU, T), blå taggsvamp (NT, T), brunpudrad nållav (NT, T), doftskinn (NT, T), gammelgransskål (NT, T), harticka (NT, T), kryddspindling (NT, T), lunglav (NT, T), orange taggsvamp (NT, T), rosenticka (NT, T), rynkskinn (NT, T), skrovellav (NT, T), stjärntagging (NT, T), tretåig hackspett (NT, T, §4), ullticka (NT, T), vedskivlav (NT, T), vedtrappmossa (NT, T), barkkornlav (S, T), barkticka (S, T), bårdlav (S, T), finbräken (S, T), grönkulla (S, T, §8), guckusko (S, T, §7), gytterlav (S, T), korallblylav (S, T), korallrot (S, T, §8), kransrams (S, T), kärrkammossa (S, T), luddlav (S, T), norrlandslav (S, T), plattlummer (S, T, §9), rostfläck (S, T), spindelblomster (S, T, §8), stuplav (S, T), svart trolldruva (S, T), tibast (S, T), trådticka (S, T), vedticka (S, T), ögonpyrola (S, T), blåsippa (T, §9),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