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60881-2023 i Östersunds kommun</w:t>
      </w:r>
    </w:p>
    <w:p>
      <w:r>
        <w:t>Detta dokument behandlar höga naturvärden i avverkningsanmälan A 60881-2023 i Östersunds kommun. Denna avverkningsanmälan inkom 2023-11-29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storspov (EN, §4), hussvala (VU, §4), lappuggla (VU, §4), björktrast (NT, §4), buskskvätta (NT, §4), rosenfink (NT, §4), svartvit flugsnappare (NT, §4), talltita (NT, §4) och bivråk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5571"/>
            <wp:docPr id="1" name="Picture 1"/>
            <wp:cNvGraphicFramePr>
              <a:graphicFrameLocks noChangeAspect="1"/>
            </wp:cNvGraphicFramePr>
            <a:graphic>
              <a:graphicData uri="http://schemas.openxmlformats.org/drawingml/2006/picture">
                <pic:pic>
                  <pic:nvPicPr>
                    <pic:cNvPr id="0" name="A 60881-2023 karta.png"/>
                    <pic:cNvPicPr/>
                  </pic:nvPicPr>
                  <pic:blipFill>
                    <a:blip r:embed="rId16"/>
                    <a:stretch>
                      <a:fillRect/>
                    </a:stretch>
                  </pic:blipFill>
                  <pic:spPr>
                    <a:xfrm>
                      <a:off x="0" y="0"/>
                      <a:ext cx="5486400" cy="243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7008096, E 490227 i SWEREF 99 TM.</w:t>
      </w:r>
    </w:p>
    <w:p>
      <w:pPr>
        <w:pStyle w:val="Heading1"/>
      </w:pPr>
      <w:r>
        <w:t>Fridlysta arter</w:t>
      </w:r>
    </w:p>
    <w:p>
      <w:r>
        <w:t>Följande fridlysta arter har sina livsmiljöer och växtplatser i den avverkningsanmälda skogen: storspov (EN, §4), hussvala (VU, §4), lappuggla (VU, §4), björktrast (NT, §4), buskskvätta (NT, §4), rosenfink (NT, §4), svartvit flugsnappare (NT, §4), talltita (NT, §4) och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