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21 naturvårdsarter, varav 4 är rödlistade, 6 är fridlysta, 18 är typiska (T) och 8 är signalarter (S): garnlav (VU, T), lunglav (NT, T), rödvingetrast (NT, §4), tretåig hackspett (NT, T, §4), finbräken (S, T), kransrams (S, T), luddlav (S, T), spindelblomster (S, T, §8), stuplav (S, T), svart trolldruva (S, T), tvåblad (S, §8), ögonpyrola (S, T), blåsippa (T, §9), brudborste (T), kransmossa (T), kärrfibbla (T), liljekonvalj (T), linnea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finbräken (S, T), kransrams (S, T), luddlav (S, T), spindelblomster (S, T, §8), stuplav (S, T), svart trolldruva (S, T), ögonpyrola (S, T), blåsippa (T, §9), brudborste (T), kransmossa (T), kärrfibbla (T), liljekonvalj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