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16688-2023 i Östersunds kommun</w:t>
      </w:r>
    </w:p>
    <w:p>
      <w:r>
        <w:t>Detta dokument behandlar höga naturvärden i avverkningsanmälan A 16688-2023 i Östersunds kommun. Denna avverkningsanmälan inkom 2023-04-12 och omfattar 5,0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trolldruvemätare (EN), grantaggsvamp (NT), persiljespindling (NT), kransrams (S), svart trolldruva (S), underviol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16688-2023 karta.png"/>
                    <pic:cNvPicPr/>
                  </pic:nvPicPr>
                  <pic:blipFill>
                    <a:blip r:embed="rId16"/>
                    <a:stretch>
                      <a:fillRect/>
                    </a:stretch>
                  </pic:blipFill>
                  <pic:spPr>
                    <a:xfrm>
                      <a:off x="0" y="0"/>
                      <a:ext cx="5486400" cy="420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6996559, E 485343 i SWEREF 99 TM.</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pPr>
        <w:pStyle w:val="ListNumber"/>
      </w:pPr>
      <w:r>
        <w:rPr>
          <w:i/>
        </w:rPr>
        <w:t>Vad kan sägas om trolldruvemätarens uppträdande och hotsituation i Norden och i Sverige generellt och dess orsaker?</w:t>
      </w:r>
    </w:p>
    <w:p>
      <w:pPr>
        <w:pStyle w:val="ListNumber"/>
      </w:pPr>
      <w:r>
        <w:rPr>
          <w:i/>
        </w:rPr>
        <w:t>Finns det något särskilt att säga om trolldruvemätarens livsmiljökrav?</w:t>
      </w:r>
    </w:p>
    <w:p>
      <w:pPr>
        <w:pStyle w:val="Heading2"/>
      </w:pPr>
      <w:r>
        <w:t>Svar på fråga 1. Uppträdande och hotsituation</w:t>
      </w:r>
    </w:p>
    <w:p>
      <w:r>
        <w:t xml:space="preserve">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(Actaea erythrocarpa)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br/>
      </w:r>
      <w:r>
        <w:rPr>
          <w:i/>
        </w:rPr>
        <w:t>Författare till Åtgärdsprogrammet för trolldruvemätare</w:t>
        <w:br/>
        <w:t>Expert i Artdatabankens rödlistekommitte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