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 – 20 ha) med relativt tät flerskiktad granskog. Arten missgynnas när flerskiktad skog omförs till enskiktade bestånd och även röjning och hård gallring är starkt negatit. Lavskrikan har relativt stora hemområden och försvinner när den äldre skogen fragmenteras, särskilt allvarligt är när kärnområdena avverkas. (Skogsstyrelsen 2016). Populationen har minskat med 20 – 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 – 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