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19444-2026 i Östersunds kommun</w:t>
      </w:r>
    </w:p>
    <w:p>
      <w:r>
        <w:t>Detta klagomål behandlar höga naturvärden i avverkningsanmälan A 19444-2026 i Östersunds kommun som inkom 2026-04-21 och omfattar 1,2 ha.</w:t>
      </w:r>
    </w:p>
    <w:p>
      <w:pPr>
        <w:pStyle w:val="Caption"/>
      </w:pPr>
      <w:r>
        <w:drawing>
          <wp:inline xmlns:a="http://schemas.openxmlformats.org/drawingml/2006/main" xmlns:pic="http://schemas.openxmlformats.org/drawingml/2006/picture">
            <wp:extent cx="5486400" cy="4413996"/>
            <wp:docPr id="1" name="Picture 1"/>
            <wp:cNvGraphicFramePr>
              <a:graphicFrameLocks noChangeAspect="1"/>
            </wp:cNvGraphicFramePr>
            <a:graphic>
              <a:graphicData uri="http://schemas.openxmlformats.org/drawingml/2006/picture">
                <pic:pic>
                  <pic:nvPicPr>
                    <pic:cNvPr id="0" name="A 19444-2026 karta.png"/>
                    <pic:cNvPicPr/>
                  </pic:nvPicPr>
                  <pic:blipFill>
                    <a:blip r:embed="rId16"/>
                    <a:stretch>
                      <a:fillRect/>
                    </a:stretch>
                  </pic:blipFill>
                  <pic:spPr>
                    <a:xfrm>
                      <a:off x="0" y="0"/>
                      <a:ext cx="5486400" cy="441399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7006491, E 512531 i SWEREF 99 TM.</w:t>
      </w:r>
    </w:p>
    <w:p>
      <w:r>
        <w:t>I och inom 3 meter från avverkningsanmälan finns fynd av 9 naturvårdsarter, varav 3 är rödlistade, 5 är fridlysta, 6 är typiska (T) och 5 är signalarter (S): garnlav (VU, T), brunpudrad nållav (NT, T), ullticka (NT, T), grönkulla (S, T, §8), korallrot (S, T, §8), spindelblomster (S, T, §8), trådfräken (S),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