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4951498"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495149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19 naturvårdsarter, varav 14 är rödlistade, 3 är fridlysta, 8 är typiska (T) och 3 är signalarter (S): borgsjömusseron (VU), garnlav (VU, T), kopparspindling (VU), läderdoftande fingersvamp (VU), stor odörspindling (VU), taggfingersvamp (VU), dropptaggsvamp (NT, T), fjällig taggsvamp s.str. (NT), gultoppig fingersvamp (NT), kryddspindling (NT, T), lunglav (NT, T), orange taggsvamp (NT, T), talltita (NT, §4), äggvaxskivling (NT),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