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23145-2026 i Östersunds kommun</w:t>
      </w:r>
    </w:p>
    <w:p>
      <w:r>
        <w:t>Detta klagomål behandlar höga naturvärden i avverkningsanmälan A 23145-2026 i Östersunds kommun som inkom 2026-05-19 och omfattar 25,5 ha.</w:t>
      </w:r>
    </w:p>
    <w:p>
      <w:pPr>
        <w:pStyle w:val="Caption"/>
      </w:pPr>
      <w:r>
        <w:drawing>
          <wp:inline xmlns:a="http://schemas.openxmlformats.org/drawingml/2006/main" xmlns:pic="http://schemas.openxmlformats.org/drawingml/2006/picture">
            <wp:extent cx="5486400" cy="5627802"/>
            <wp:docPr id="1" name="Picture 1"/>
            <wp:cNvGraphicFramePr>
              <a:graphicFrameLocks noChangeAspect="1"/>
            </wp:cNvGraphicFramePr>
            <a:graphic>
              <a:graphicData uri="http://schemas.openxmlformats.org/drawingml/2006/picture">
                <pic:pic>
                  <pic:nvPicPr>
                    <pic:cNvPr id="0" name="A 23145-2026 karta.png"/>
                    <pic:cNvPicPr/>
                  </pic:nvPicPr>
                  <pic:blipFill>
                    <a:blip r:embed="rId16"/>
                    <a:stretch>
                      <a:fillRect/>
                    </a:stretch>
                  </pic:blipFill>
                  <pic:spPr>
                    <a:xfrm>
                      <a:off x="0" y="0"/>
                      <a:ext cx="5486400" cy="562780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6979482, E 487413 i SWEREF 99 TM.</w:t>
      </w:r>
    </w:p>
    <w:p>
      <w:r>
        <w:t>I och inom 14 meter från avverkningsanmälan finns fynd av 32 naturvårdsarter, varav 16 är rödlistade, 6 är fridlysta, 26 är typiska (T) och 9 är signalarter (S): garnlav (VU, T), knärot (VU, T, §8), blanksvart spiklav (NT), dropptaggsvamp (NT, T), dvärgbägarlav (NT, T), kolflarnlav (NT, T), liten svartspik (NT), lunglav (NT, T), mörk kolflarnlav (NT), talltagel (NT, T), tretåig hackspett (NT, T, §4), ullticka (NT, T), vedskivlav (NT, T), violettgrå tagellav (NT, T), vitgrynig nållav (NT), vårtig dynlav (NT), grönpyrola (S, T), gytterlav (S, T), norrlandslav (S, T), nästlav (S, T), skinnlav (S, T), spindelblomster (S, T, §8), spädstarr (S, T), vedticka (S, T), ögonpyrola (S, T), blåbär (T), klotstarr (T), linnea (T), tjäder (T, §4), tofsmes (T, §4), ängskovall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1.19 ha med buffertzonerna och får av detta skäl inte avverkas.</w:t>
      </w:r>
    </w:p>
    <w:p>
      <w:pPr>
        <w:pStyle w:val="Caption"/>
      </w:pPr>
      <w:r>
        <w:drawing>
          <wp:inline xmlns:a="http://schemas.openxmlformats.org/drawingml/2006/main" xmlns:pic="http://schemas.openxmlformats.org/drawingml/2006/picture">
            <wp:extent cx="5486400" cy="4905709"/>
            <wp:docPr id="2" name="Picture 2"/>
            <wp:cNvGraphicFramePr>
              <a:graphicFrameLocks noChangeAspect="1"/>
            </wp:cNvGraphicFramePr>
            <a:graphic>
              <a:graphicData uri="http://schemas.openxmlformats.org/drawingml/2006/picture">
                <pic:pic>
                  <pic:nvPicPr>
                    <pic:cNvPr id="0" name="A 23145-2026 karta knärot.png"/>
                    <pic:cNvPicPr/>
                  </pic:nvPicPr>
                  <pic:blipFill>
                    <a:blip r:embed="rId17"/>
                    <a:stretch>
                      <a:fillRect/>
                    </a:stretch>
                  </pic:blipFill>
                  <pic:spPr>
                    <a:xfrm>
                      <a:off x="0" y="0"/>
                      <a:ext cx="5486400" cy="49057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6979482, E 487413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Vårtig dynlav (NT)</w:t>
      </w:r>
      <w:r>
        <w:t xml:space="preserve"> växer på äldre träd i boreal kontinuitetsskog. Arten påverkas negativt av brist på kontinuitetsskog och död ved. En minskning av populationen pågår eller förväntas ske. Minskningstakten uppgår till 20 (10–30) % inom 50 år och bedöms vara nära gränsvärdet för sårbar (VU)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Spädstarr </w:t>
      </w:r>
      <w:r>
        <w:t xml:space="preserve">är typisk art för </w:t>
      </w:r>
      <w:r>
        <w:rPr>
          <w:i/>
        </w:rPr>
        <w:t xml:space="preserve">9080 Lövsumpskog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Klotstarr </w:t>
      </w:r>
      <w:r>
        <w:t xml:space="preserve">är typisk art för </w:t>
      </w:r>
      <w:r>
        <w:rPr>
          <w:i/>
        </w:rPr>
        <w:t xml:space="preserve">9740 Skogsbevuxen myr </w:t>
      </w:r>
      <w:r>
        <w:t xml:space="preserve">och </w:t>
      </w:r>
      <w:r>
        <w:rPr>
          <w:i/>
        </w:rPr>
        <w:t xml:space="preserve">9080 Lövsumpskog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32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