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25369-2024 i Östersunds kommun</w:t>
      </w:r>
    </w:p>
    <w:p>
      <w:r>
        <w:t>Detta klagomål behandlar höga naturvärden i avverkningsanmälan A 25369-2024 i Östersunds kommun som inkom 2024-06-19 och omfattar 14,7 ha.</w:t>
      </w:r>
    </w:p>
    <w:p>
      <w:pPr>
        <w:pStyle w:val="Caption"/>
      </w:pPr>
      <w:r>
        <w:drawing>
          <wp:inline xmlns:a="http://schemas.openxmlformats.org/drawingml/2006/main" xmlns:pic="http://schemas.openxmlformats.org/drawingml/2006/picture">
            <wp:extent cx="5408065" cy="5724000"/>
            <wp:docPr id="1" name="Picture 1"/>
            <wp:cNvGraphicFramePr>
              <a:graphicFrameLocks noChangeAspect="1"/>
            </wp:cNvGraphicFramePr>
            <a:graphic>
              <a:graphicData uri="http://schemas.openxmlformats.org/drawingml/2006/picture">
                <pic:pic>
                  <pic:nvPicPr>
                    <pic:cNvPr id="0" name="A 25369-2024 karta.png"/>
                    <pic:cNvPicPr/>
                  </pic:nvPicPr>
                  <pic:blipFill>
                    <a:blip r:embed="rId16"/>
                    <a:stretch>
                      <a:fillRect/>
                    </a:stretch>
                  </pic:blipFill>
                  <pic:spPr>
                    <a:xfrm>
                      <a:off x="0" y="0"/>
                      <a:ext cx="5408065"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6985253, E 487070 i SWEREF 99 TM.</w:t>
      </w:r>
    </w:p>
    <w:p>
      <w:r>
        <w:t>I avverkningsanmälan finns fynd av 4 naturvårdsarter, varav 1 är rödlistad, 1 är fridlyst, 4 är typiska (T) och 2 är signalarter (S): ullticka (NT, T), kransrams (S, T), underviol (S, 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Kransrams</w:t>
      </w:r>
      <w:r>
        <w:t xml:space="preserve"> är typisk art för </w:t>
      </w:r>
      <w:r>
        <w:rPr>
          <w:i/>
        </w:rPr>
        <w:t xml:space="preserve">9020 Nordlig ädellövskog </w:t>
      </w:r>
      <w:r>
        <w:t>(SLU Artdatabanken, 2025).</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