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30683-2023 i Östersunds kommun</w:t>
      </w:r>
    </w:p>
    <w:p>
      <w:r>
        <w:t>Denna tillsynsbegäran behandlar höga naturvärden i avverkningsanmälan A 30683-2023 i Östersunds kommun som inkom 2023-07-05 och omfattar 3,2 ha.</w:t>
      </w:r>
    </w:p>
    <w:p>
      <w:pPr>
        <w:pStyle w:val="Caption"/>
      </w:pPr>
      <w:r>
        <w:drawing>
          <wp:inline xmlns:a="http://schemas.openxmlformats.org/drawingml/2006/main" xmlns:pic="http://schemas.openxmlformats.org/drawingml/2006/picture">
            <wp:extent cx="5486400" cy="4228864"/>
            <wp:docPr id="1" name="Picture 1"/>
            <wp:cNvGraphicFramePr>
              <a:graphicFrameLocks noChangeAspect="1"/>
            </wp:cNvGraphicFramePr>
            <a:graphic>
              <a:graphicData uri="http://schemas.openxmlformats.org/drawingml/2006/picture">
                <pic:pic>
                  <pic:nvPicPr>
                    <pic:cNvPr id="0" name="A 30683-2023 karta.png"/>
                    <pic:cNvPicPr/>
                  </pic:nvPicPr>
                  <pic:blipFill>
                    <a:blip r:embed="rId16"/>
                    <a:stretch>
                      <a:fillRect/>
                    </a:stretch>
                  </pic:blipFill>
                  <pic:spPr>
                    <a:xfrm>
                      <a:off x="0" y="0"/>
                      <a:ext cx="5486400" cy="422886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6984985, E 502123 i SWEREF 99 TM.</w:t>
      </w:r>
    </w:p>
    <w:p>
      <w:r>
        <w:t>I avverkningsanmälan finns fynd av 14 naturvårdsarter, varav 13 är rödlistade, 3 är fridlysta och 7 är typiska (T): bitter taggsvamp (EN), doftticka (VU, T, §8), läderdoftande fingersvamp (VU), taggfingersvamp (VU), grantaggsvamp (NT), grynig filtlav (NT, T), gultoppig fingersvamp (NT), kryddspindling (NT, T), lunglav (NT, T), orange taggsvamp (NT, T), skogsfru (NT, §8), slåtterfibbla (NT, T), vårärt (NT, T) och skogsrör (§7).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Bitter taggsvamp (EN) </w:t>
      </w:r>
      <w:r>
        <w:t>är en sällsynt och starkt hotad ”toppart” som bildar mykorrhiza med gran, möjligen även med tall, i äldre barrskogar med lång kontinuitet. Förekommer på kalkrik eller annan basiskt påverkad mark, främst i miljöer med hög luftfuktighet. Svampen har i friskt tillstånd en säregen doft av bittermandelolja och fruktköttet är mycket bittert i smaken. Arten hotas främst av avverkning och tål inte en slutavverkning utan kräver ett kontinuerligt äldre trädskikt med gran. Äldre barrskogar med basisk påverkan och lång kontinuitet, även små områden, har ett mycket högt skyddsvärde och bör i största möjliga utsträckning undantas från trakthyggesbruk. Slutavverkning, kraftig gallring och skogsmarksgödsling måste helt undvikas, liksom körning med tunga maskiner. Lokalerna bör skyddas formellt. Bitter taggsvamp ingår i ett åtgärdsprogram för hotade arter (ÅGP) och är placerad högst upp i Skogsstyrelsens värdepyramid för bedömning av skog med höga naturvärden (SLU Artdatabanken, 2026; Nitare &amp; Skogsstyrelsen, 2019; Nitare 2006).</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rPr>
        <w:t xml:space="preserve">Taggfingersvamp (VU) </w:t>
      </w:r>
      <w:r>
        <w:t>är knuten till granskogar med långvarig kontinuitet och bildar mykorrhiza med gran på rikare mark. Den totala populationen i landet bedöms ha minskat kraftigt och fortgående att minska, huvudsakligen p.g.a. att arealen örtrik äldre granskog har minskat de senaste 50 åren. Den hotas främst av skogsavverkning och tycks försvinna efter slutavverkning, markberedning och plantering och det saknas uppgifter om fynd i planterad skog eller sekundär granskog uppkommen på kalmark. Taggfingersvamp är placerad högst upp i Skogsstyrelsens värdepyramid för bedömning av skog med höga naturvärden. Områdesskydd är en viktig åtgärd för att bevara artens förekomster (SLU Artdatabanken, 2024; Nitare &amp; Skogsstyrelsen, 2019).</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Grynig filtlav (NT)</w:t>
      </w:r>
      <w:r>
        <w:t xml:space="preserve"> tillhör en grupp fuktighetskrävande, storväxta bladlavar där också bl.a. lunglav (NT) ingår. Den växer framför allt på gamla mossiga stammar av lövträd, särskilt ädellövträd samt asp och sälg, i kulturmarker, lövskogar, halvöppna och lövrika barrblandskogar i områden med hög luftfuktighet. Arten indikerar långvarig förekomst av gamla lövträd och ett mikroklimat med konstant hög och jämn luftfuktighet. Grynig filtlav är typisk art för </w:t>
      </w:r>
      <w:r>
        <w:rPr>
          <w:i/>
        </w:rPr>
        <w:t>9010 Taiga, 9020 Nordlig ädellövskog, 9110 Näringsfattig bokskog, 9130 Näringsrik bokskog, 9160 Näringsrik ekskog, 9180 Ädellövskog i branter,</w:t>
      </w:r>
      <w:r>
        <w:t xml:space="preserve"> </w:t>
      </w:r>
      <w:r>
        <w:rPr>
          <w:i/>
        </w:rPr>
        <w:t>9190 Näringsfattig ekskog</w:t>
      </w:r>
      <w:r>
        <w:t xml:space="preserve"> och </w:t>
      </w:r>
      <w:r>
        <w:rPr>
          <w:i/>
        </w:rPr>
        <w:t>9070 Trädklädd betesmark</w:t>
      </w:r>
      <w:r>
        <w:t xml:space="preserve"> (SLU Artdatabanken, 2024; Nitare &amp; Skogsstyrelsen, 2019).</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Kryddspindling (NT)</w:t>
      </w:r>
      <w:r>
        <w:t xml:space="preserve"> signalerar örtrika granskogar som normalt har höga naturvärden. Oftast växer den i äldre granskog på kalkrikt underlag och svampen är en mycket användbar signalart för denna miljö. Den utgör en viktig karaktärsart för all äldre kalkbarrskog med lång trädkontinuitet av gran. På lokalerna förekommer nästan alltid många ovanliga och rödlistade arter. Den totala populationen i landet har minskat och bedöms fortsätta minska till följd av avverkning av äldre barrskogar. Kryddspindling är typisk art för </w:t>
      </w:r>
      <w:r>
        <w:rPr>
          <w:i/>
        </w:rPr>
        <w:t xml:space="preserve">9050 Näringsrik granskog </w:t>
      </w:r>
      <w:r>
        <w:t>(Nitare &amp; Skogsstyrelsen, 2000;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Skogsfru (NT, §8)</w:t>
      </w:r>
      <w:r>
        <w:t xml:space="preserve"> växer i fuktig, skuggig skog med rörligt markvatten och god förnaproduktion. Den är placerad högst upp i Skogsstyrelsens värdepyramid för bedömning av skog med höga naturvärden och fridlyst enligt 8 § artskyddsförordningen. Slutavverkning utan hänsyn, markberedning och skyddsdikning utgör de allvarligaste hoten mot arten (SLU Artdatabanken, 2024).</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Skogsrör (§7)</w:t>
      </w:r>
      <w:r>
        <w:t xml:space="preserve"> är strikt skyddad enligt EU:s art- och habitatdirektiv och fridlyst enligt §7 Artskyddsförordningen (bilaga 1) vilket innebär att hela dess livsmiljö ska bevaras. Arten är en svensk-norsk endem som förekommer sparsamt till sällsynt i mellersta Norrland, i såväl lågland som fjällnära delar. Den är något kalkgynnad och växer i fuktiga-friska, gärna sluttande och rika skogar, både gran-, bland och björkskogar, i myrkanter samt längs vattendrag och raviner. Skogsrör är känslig för dränering och på dikade lokaler bör hydrologin återställas (SLU Artdatabanken, 2024).</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doftticka (VU, T, §8), grynig filtlav (NT, T), kryddspindling (NT, T), lunglav (NT, T), orange taggsvamp (NT, T), slåtterfibbla (NT, T) och vårärt (NT,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